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header1.xml" ContentType="application/vnd.openxmlformats-officedocument.wordprocessingml.head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Default Extension="gif" ContentType="image/gif"/>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6B364D" w:rsidRDefault="00312ADF" w:rsidP="00E03D14">
      <w:pPr>
        <w:jc w:val="center"/>
        <w:rPr>
          <w:b/>
          <w:color w:val="4F81BD" w:themeColor="accent1"/>
          <w:sz w:val="32"/>
        </w:rPr>
      </w:pPr>
      <w:r>
        <w:rPr>
          <w:b/>
          <w:color w:val="4F81BD" w:themeColor="accent1"/>
          <w:sz w:val="32"/>
        </w:rPr>
        <w:t>Atmospheric Reanalyses</w:t>
      </w:r>
    </w:p>
    <w:p w:rsidR="00312ADF" w:rsidRDefault="006B364D" w:rsidP="00E03D14">
      <w:pPr>
        <w:jc w:val="center"/>
        <w:rPr>
          <w:b/>
          <w:color w:val="4F81BD" w:themeColor="accent1"/>
          <w:sz w:val="32"/>
        </w:rPr>
      </w:pPr>
      <w:r>
        <w:rPr>
          <w:b/>
          <w:color w:val="4F81BD" w:themeColor="accent1"/>
          <w:sz w:val="32"/>
        </w:rPr>
        <w:t>Recent Progress</w:t>
      </w:r>
      <w:r w:rsidR="00312ADF">
        <w:rPr>
          <w:b/>
          <w:color w:val="4F81BD" w:themeColor="accent1"/>
          <w:sz w:val="32"/>
        </w:rPr>
        <w:t xml:space="preserve"> and Prospects for the Future</w:t>
      </w:r>
    </w:p>
    <w:p w:rsidR="006B364D" w:rsidRDefault="006B364D" w:rsidP="006B364D">
      <w:pPr>
        <w:spacing w:after="0"/>
        <w:jc w:val="center"/>
        <w:rPr>
          <w:b/>
          <w:color w:val="4F81BD" w:themeColor="accent1"/>
          <w:sz w:val="28"/>
        </w:rPr>
      </w:pPr>
      <w:r>
        <w:rPr>
          <w:b/>
          <w:color w:val="4F81BD" w:themeColor="accent1"/>
          <w:sz w:val="28"/>
        </w:rPr>
        <w:t xml:space="preserve">A Report from a Technical Workshop at </w:t>
      </w:r>
    </w:p>
    <w:p w:rsidR="000D02FD" w:rsidRPr="0036455A" w:rsidRDefault="006B364D" w:rsidP="006B364D">
      <w:pPr>
        <w:spacing w:after="0"/>
        <w:jc w:val="center"/>
        <w:rPr>
          <w:b/>
          <w:color w:val="4F81BD" w:themeColor="accent1"/>
          <w:sz w:val="28"/>
        </w:rPr>
      </w:pPr>
      <w:r>
        <w:rPr>
          <w:b/>
          <w:color w:val="4F81BD" w:themeColor="accent1"/>
          <w:sz w:val="28"/>
        </w:rPr>
        <w:t>N</w:t>
      </w:r>
      <w:r w:rsidR="007517BB" w:rsidRPr="0036455A">
        <w:rPr>
          <w:b/>
          <w:color w:val="4F81BD" w:themeColor="accent1"/>
          <w:sz w:val="28"/>
        </w:rPr>
        <w:t xml:space="preserve">ASA GSFC, Greenbelt MD, </w:t>
      </w:r>
      <w:r w:rsidR="00C75038" w:rsidRPr="0036455A">
        <w:rPr>
          <w:b/>
          <w:color w:val="4F81BD" w:themeColor="accent1"/>
          <w:sz w:val="28"/>
        </w:rPr>
        <w:t>April</w:t>
      </w:r>
      <w:r w:rsidR="007517BB" w:rsidRPr="0036455A">
        <w:rPr>
          <w:b/>
          <w:color w:val="4F81BD" w:themeColor="accent1"/>
          <w:sz w:val="28"/>
        </w:rPr>
        <w:t xml:space="preserve"> 2010</w:t>
      </w:r>
    </w:p>
    <w:p w:rsidR="003A691C" w:rsidRDefault="000D02FD" w:rsidP="003A691C">
      <w:pPr>
        <w:pStyle w:val="Heading1"/>
      </w:pPr>
      <w:r w:rsidRPr="00E03D14">
        <w:t>Introduction</w:t>
      </w:r>
    </w:p>
    <w:p w:rsidR="003A691C" w:rsidRDefault="00121BC2" w:rsidP="003A691C">
      <w:r>
        <w:t>Between early 2009 and</w:t>
      </w:r>
      <w:r w:rsidR="00C72C7F">
        <w:t xml:space="preserve"> early 2010, </w:t>
      </w:r>
      <w:r>
        <w:t xml:space="preserve">four new </w:t>
      </w:r>
      <w:r w:rsidR="009B55CE">
        <w:t xml:space="preserve">global </w:t>
      </w:r>
      <w:r w:rsidR="00EF5124">
        <w:t>atmospheric reanalyses became</w:t>
      </w:r>
      <w:r>
        <w:t xml:space="preserve"> available for scient</w:t>
      </w:r>
      <w:r w:rsidR="00BE3CC2">
        <w:t>ific research. These include</w:t>
      </w:r>
      <w:r>
        <w:t xml:space="preserve"> </w:t>
      </w:r>
      <w:proofErr w:type="spellStart"/>
      <w:r>
        <w:t>ECMWF</w:t>
      </w:r>
      <w:r w:rsidR="00BE3CC2">
        <w:t>’s</w:t>
      </w:r>
      <w:proofErr w:type="spellEnd"/>
      <w:r>
        <w:t xml:space="preserve"> </w:t>
      </w:r>
      <w:r w:rsidR="00C95C1D">
        <w:t>ERA-</w:t>
      </w:r>
      <w:r>
        <w:t xml:space="preserve">Interim reanalysis, NASA’s Modern </w:t>
      </w:r>
      <w:r w:rsidR="004B0996">
        <w:t>Era Retrospective-analysis for R</w:t>
      </w:r>
      <w:r>
        <w:t xml:space="preserve">esearch and Applications (MERRA), </w:t>
      </w:r>
      <w:proofErr w:type="spellStart"/>
      <w:r>
        <w:t>NCEP’s</w:t>
      </w:r>
      <w:proofErr w:type="spellEnd"/>
      <w:r>
        <w:t xml:space="preserve"> Climate Forecast System Reanalysis (CFSR) and the CIRES Twentieth Century Reanalysis (20CR).</w:t>
      </w:r>
      <w:r w:rsidR="002056DE">
        <w:t xml:space="preserve"> In addition, the JMA</w:t>
      </w:r>
      <w:r w:rsidR="009B55CE">
        <w:t xml:space="preserve"> has </w:t>
      </w:r>
      <w:r w:rsidR="00C04DA9">
        <w:t xml:space="preserve">recently </w:t>
      </w:r>
      <w:r w:rsidR="009B55CE">
        <w:t>begun</w:t>
      </w:r>
      <w:r w:rsidR="00C04DA9">
        <w:t xml:space="preserve"> production of a new global reanalysis (JRA-55)</w:t>
      </w:r>
      <w:r w:rsidR="002056DE">
        <w:t>.</w:t>
      </w:r>
      <w:r>
        <w:t xml:space="preserve"> </w:t>
      </w:r>
      <w:r w:rsidR="008900F7">
        <w:t>W</w:t>
      </w:r>
      <w:r w:rsidR="007517BB">
        <w:t xml:space="preserve">ith so much recent </w:t>
      </w:r>
      <w:r w:rsidR="00A057AF">
        <w:t>experience</w:t>
      </w:r>
      <w:r w:rsidR="007517BB">
        <w:t xml:space="preserve"> being </w:t>
      </w:r>
      <w:r w:rsidR="002056DE">
        <w:t>focused</w:t>
      </w:r>
      <w:r w:rsidR="007517BB">
        <w:t xml:space="preserve"> on the </w:t>
      </w:r>
      <w:r w:rsidR="002056DE">
        <w:t>methodologies and technologies of reanalyses, it seemed an opportune time to gather the primary developers for</w:t>
      </w:r>
      <w:r w:rsidR="00BE3CC2">
        <w:t xml:space="preserve"> a meeting to review the system</w:t>
      </w:r>
      <w:r w:rsidR="00804BFC">
        <w:t xml:space="preserve"> advances and lessons learned from the evaluations of the reanalyses. Thus, i</w:t>
      </w:r>
      <w:r w:rsidR="00FC72BC">
        <w:t xml:space="preserve">n April 2010, developers representing each of the major reanalysis centers met </w:t>
      </w:r>
      <w:r w:rsidR="00804BFC">
        <w:t>at Goddard Space Flight Center</w:t>
      </w:r>
      <w:r w:rsidR="00FC72BC">
        <w:t xml:space="preserve">. The </w:t>
      </w:r>
      <w:r w:rsidR="004B0996">
        <w:t xml:space="preserve">meeting </w:t>
      </w:r>
      <w:r w:rsidR="00FC72BC">
        <w:t>agenda included overviews of each center’s</w:t>
      </w:r>
      <w:r w:rsidR="00804BFC">
        <w:t xml:space="preserve"> development efforts, a </w:t>
      </w:r>
      <w:r w:rsidR="00FC72BC">
        <w:t>discussion of the iss</w:t>
      </w:r>
      <w:r w:rsidR="00804BFC">
        <w:t>ues in observations, models and data assimilation</w:t>
      </w:r>
      <w:r w:rsidR="00FC72BC">
        <w:t xml:space="preserve">, and, finally, identification of </w:t>
      </w:r>
      <w:r w:rsidR="00804BFC">
        <w:t xml:space="preserve">priorities for </w:t>
      </w:r>
      <w:r w:rsidR="00FC72BC">
        <w:t>future directions and potential areas of collaboration.</w:t>
      </w:r>
      <w:r w:rsidR="00804BFC">
        <w:t xml:space="preserve"> This white paper summarizes the deliberations and recommendations from the meeting.</w:t>
      </w:r>
    </w:p>
    <w:p w:rsidR="008E7FB5" w:rsidRDefault="00312ADF" w:rsidP="00C75038">
      <w:pPr>
        <w:pStyle w:val="Heading1"/>
      </w:pPr>
      <w:r>
        <w:t xml:space="preserve">Major System </w:t>
      </w:r>
      <w:r w:rsidR="00C75038">
        <w:t>Advances</w:t>
      </w:r>
    </w:p>
    <w:p w:rsidR="00436047" w:rsidRDefault="007B3CF5" w:rsidP="00FC72BC">
      <w:r>
        <w:t>The earlier generations</w:t>
      </w:r>
      <w:r w:rsidR="004B0996">
        <w:t xml:space="preserve"> of reanalyses from NCEP and ECMWF have proven to be extremely valuable scientific tools, enabling climate and weather research not otherwise possible. </w:t>
      </w:r>
      <w:r>
        <w:t xml:space="preserve">They continue to be used, even with their known flaws, because </w:t>
      </w:r>
      <w:r w:rsidR="00FC72BC">
        <w:t>the science community sees much of the basic utility availab</w:t>
      </w:r>
      <w:r w:rsidR="00436047">
        <w:t>le in each system:</w:t>
      </w:r>
      <w:r w:rsidR="00FC72BC">
        <w:t xml:space="preserve"> regular</w:t>
      </w:r>
      <w:r>
        <w:t>,</w:t>
      </w:r>
      <w:r w:rsidR="00FC72BC">
        <w:t xml:space="preserve"> gridded meteorological fields based on observations. </w:t>
      </w:r>
      <w:r>
        <w:t>The community</w:t>
      </w:r>
      <w:r w:rsidR="00436047">
        <w:t xml:space="preserve"> of users has</w:t>
      </w:r>
      <w:r>
        <w:t xml:space="preserve"> a broad array of needs, but those needs seem to be well met by time series of such gridded fields that is of long duration and </w:t>
      </w:r>
      <w:r w:rsidR="00436047">
        <w:t>that is kept current</w:t>
      </w:r>
      <w:r>
        <w:t>.</w:t>
      </w:r>
    </w:p>
    <w:p w:rsidR="00E03D14" w:rsidRPr="000B1FFB" w:rsidRDefault="00312ADF" w:rsidP="000B1FFB">
      <w:r>
        <w:t>Individual centers</w:t>
      </w:r>
      <w:r w:rsidR="00436047">
        <w:t xml:space="preserve"> have had their own objectives</w:t>
      </w:r>
      <w:r>
        <w:t>,</w:t>
      </w:r>
      <w:r w:rsidR="00436047">
        <w:t xml:space="preserve"> depending on th</w:t>
      </w:r>
      <w:r>
        <w:t>eir mission (see Appendix A), in preparing these newest reanalyses. However, the primary rationale would seem to be the availability of new systems or updates to older systems that make some significant progress in addressing deficiencies in NCEP</w:t>
      </w:r>
      <w:r w:rsidR="00E25F92">
        <w:t>/NCAR</w:t>
      </w:r>
      <w:r>
        <w:t xml:space="preserve"> R1 and ERA-40, especially in terms of the hydrological cycle and treatment of biases in satellite observations.  Here we briefly summarize advances made in models, analysis/assimilation systems, and the treatment of observations.</w:t>
      </w:r>
    </w:p>
    <w:p w:rsidR="00085E61" w:rsidRPr="00E03D14" w:rsidRDefault="00085E61" w:rsidP="00F4565F">
      <w:pPr>
        <w:pStyle w:val="Heading2"/>
      </w:pPr>
      <w:r>
        <w:t>Model</w:t>
      </w:r>
    </w:p>
    <w:p w:rsidR="005E22FB" w:rsidRDefault="006E4B0C" w:rsidP="005E22FB">
      <w:r>
        <w:t>The models used in the latest reanalyses are not very different from those used</w:t>
      </w:r>
      <w:r w:rsidR="00A33592">
        <w:t>, for example,</w:t>
      </w:r>
      <w:r>
        <w:t xml:space="preserve"> for ERA-40 or NCEP R2. </w:t>
      </w:r>
      <w:r w:rsidR="00A33592">
        <w:t>Of course there have been updates in the tuning of parameterizations as new satellite observations, especially from the EOS series</w:t>
      </w:r>
      <w:r w:rsidR="00CE4C4F">
        <w:t xml:space="preserve">, have provided new information and </w:t>
      </w:r>
      <w:r w:rsidR="00A33592">
        <w:t>insight on cloud properties and moisture distributions.</w:t>
      </w:r>
      <w:r>
        <w:t xml:space="preserve"> </w:t>
      </w:r>
      <w:r w:rsidR="00A33592">
        <w:t xml:space="preserve">Perhaps the most significant development has been the implementation of prognostic cloud schemes, which have also facilitated updates to the use of moisture observations during assimilation. </w:t>
      </w:r>
      <w:r w:rsidR="00951148">
        <w:t xml:space="preserve">The inclusion of prognostic ozone has also allowed the assimilation of ozone retrievals and has a radiative impact. </w:t>
      </w:r>
      <w:r w:rsidR="00A33592">
        <w:t xml:space="preserve">Otherwise, the </w:t>
      </w:r>
      <w:r w:rsidR="00A748B8">
        <w:t>higher hor</w:t>
      </w:r>
      <w:r w:rsidR="00A33592">
        <w:t xml:space="preserve">izontal </w:t>
      </w:r>
      <w:r w:rsidR="00F97D8B">
        <w:t xml:space="preserve">and vertical </w:t>
      </w:r>
      <w:r w:rsidR="00A33592">
        <w:t>resolution and extension of the</w:t>
      </w:r>
      <w:r w:rsidR="00A748B8">
        <w:t xml:space="preserve"> vertical domain</w:t>
      </w:r>
      <w:r w:rsidR="00A33592">
        <w:t xml:space="preserve"> have been important to better representation of transports.</w:t>
      </w:r>
    </w:p>
    <w:p w:rsidR="00085E61" w:rsidRDefault="00085E61" w:rsidP="00F4565F">
      <w:pPr>
        <w:pStyle w:val="Heading2"/>
      </w:pPr>
      <w:r>
        <w:t>Analysi</w:t>
      </w:r>
      <w:r w:rsidR="00EB6300">
        <w:t>s and Assimilation</w:t>
      </w:r>
    </w:p>
    <w:p w:rsidR="00635B58" w:rsidRDefault="00635B58" w:rsidP="002C1075">
      <w:r>
        <w:t>The analysis schemes used in the current generation of reanalyses have been improved in several ways compared with their f</w:t>
      </w:r>
      <w:r w:rsidR="00225EB4">
        <w:t xml:space="preserve">irst-generation predecessors. </w:t>
      </w:r>
      <w:r w:rsidR="0036455A">
        <w:t>ERA-Interim and JRA-55</w:t>
      </w:r>
      <w:r>
        <w:t xml:space="preserve"> use four-dimensional variational (4D-Var) algorithms, which take explicit account of the time dimension in accounting for the impact of observations during the assimilation window.  This involves not only computing the observation-minus-background state departures at the “correct” time of the observations, but also using the forecast model to propagate the influence of the observations through time in a dynamic</w:t>
      </w:r>
      <w:r w:rsidR="0036455A">
        <w:t xml:space="preserve">ally consistent manner. </w:t>
      </w:r>
      <w:r>
        <w:t xml:space="preserve">This is likely to be of increased importance during the satellite era in which large numbers of observations are available on a near-continuous basis.   </w:t>
      </w:r>
    </w:p>
    <w:p w:rsidR="00635B58" w:rsidRDefault="0036455A" w:rsidP="002C1075">
      <w:r>
        <w:t>MERRA and CFSR</w:t>
      </w:r>
      <w:r w:rsidR="00635B58">
        <w:t xml:space="preserve"> use a 3D-Var algorithm based on the Grid-point Statistical Interpolation (GSI) scheme originally developed at NCEP, which also includes a number of advancements over 3D-Va</w:t>
      </w:r>
      <w:r w:rsidR="005E22FB">
        <w:t xml:space="preserve">r algorithms used previously. </w:t>
      </w:r>
      <w:r w:rsidR="00635B58">
        <w:t xml:space="preserve">In particular, the observation-minus-background departures are computed with increased temporal accuracy, and a dynamic constraint on noise is </w:t>
      </w:r>
      <w:r w:rsidR="00F4565F">
        <w:t>employed</w:t>
      </w:r>
      <w:r w:rsidR="00635B58">
        <w:t xml:space="preserve"> to improve the balance properties of the analysis solution.  In MERRA, an incremental analysis update (IAU) procedure is also used in which the analysis correction is applied incrementally to the forecast model through an additional tendency term in the model equations.   This has ameliorated the spin-up problem with precipitation during the very early stages of the forecast and greatly improved aspects of the stratospheric circulation.</w:t>
      </w:r>
    </w:p>
    <w:p w:rsidR="00635B58" w:rsidRDefault="00635B58" w:rsidP="002C1075">
      <w:r>
        <w:t xml:space="preserve">The 20CR is unique in its use of an ensemble </w:t>
      </w:r>
      <w:r w:rsidR="00160290">
        <w:t>Kalman filter (EnKF)</w:t>
      </w:r>
      <w:r>
        <w:t xml:space="preserve"> to reanalyze observations of surface pressure from the late 1800’s to the present time.  A well-known advantage of the EnKF is that the background error covariances </w:t>
      </w:r>
      <w:r w:rsidR="0036455A">
        <w:t>evolve</w:t>
      </w:r>
      <w:r>
        <w:t xml:space="preserve"> dynamically from one assimilation time to the next.  The technique is especially well suited for problems involving a sparse observing network (in which accurate extrapolation of the available observational information to unobserved locations becomes critical), or an observing network that changes substantially during the course of the reanalysis (so that the background errors reflect the associated changes in the accuracy of the background forecast).  Both aspects are of primary importance in 20CR.</w:t>
      </w:r>
    </w:p>
    <w:p w:rsidR="00635B58" w:rsidRDefault="00635B58" w:rsidP="002C1075">
      <w:r>
        <w:t>Except for 20CR, the current reanalyses make extensive use of satellite radiance information, including data from hyper-spectral instruments such as AIRS and IASI.  Successful use of these data requires careful quality control and bias correction procedures that are channel-specific.  The bias in a given satellite channel can vary significantly in space and time depending on the atmospheric conditions, systematic errors in the radiative transfer model, and quali</w:t>
      </w:r>
      <w:r w:rsidR="00FD79B2">
        <w:t xml:space="preserve">ty and age of the instrument. </w:t>
      </w:r>
      <w:r>
        <w:t>In most data assimilation schemes, the bias in each satellite radiance measurement is represented by a linear predictor model in which a relatively small number (~10) of parameters is used to describe these and other related dependencies.  In the first-generation reanalyses that used satellite radiances, including ERA-40 and JMA-25, these parameters were estimated separately for each channel using an offline procedure based on a reference data set.</w:t>
      </w:r>
    </w:p>
    <w:p w:rsidR="003A691C" w:rsidRDefault="00635B58" w:rsidP="002C1075">
      <w:r>
        <w:t>In the current reanalyses, bias estimation is performed automatically during the data assimilation procedure using a variat</w:t>
      </w:r>
      <w:r w:rsidR="00E03D14">
        <w:t xml:space="preserve">ional bias correction scheme. </w:t>
      </w:r>
      <w:r>
        <w:t>The bias parameters are updated each analysis cycle by including them in the control vector used to minimi</w:t>
      </w:r>
      <w:r w:rsidR="00E03D14">
        <w:t xml:space="preserve">ze the analysis cost function. </w:t>
      </w:r>
      <w:r>
        <w:t>This ensures that the bias estimates are continuously adjusted to maintain consistency of the bias-corrected radiances with all other information used in the analysis, including conventional observations and the model background</w:t>
      </w:r>
      <w:r w:rsidR="00CE4C4F">
        <w:t xml:space="preserve"> state (Dee and </w:t>
      </w:r>
      <w:proofErr w:type="spellStart"/>
      <w:r w:rsidR="00CE4C4F">
        <w:t>Uppala</w:t>
      </w:r>
      <w:proofErr w:type="spellEnd"/>
      <w:r w:rsidR="00E03D14">
        <w:t xml:space="preserve"> 2009</w:t>
      </w:r>
      <w:r w:rsidR="00033337">
        <w:t>, henceforth DU09</w:t>
      </w:r>
      <w:r w:rsidR="00E03D14">
        <w:t xml:space="preserve">). </w:t>
      </w:r>
      <w:r>
        <w:t>An important technical advantage of this approach is that it removes the need for manual tuning and other interventions as the satellite observing system changes over time.  The bias estimates also adapt in response to natural phenomena that can severely affect the radiance measurements, such as the Mt. Pinatubo eruption in 1991</w:t>
      </w:r>
      <w:r w:rsidR="003A691C">
        <w:t xml:space="preserve"> (e.g., </w:t>
      </w:r>
      <w:r w:rsidR="00F4565F">
        <w:t>Figure 1</w:t>
      </w:r>
      <w:r w:rsidR="00033337">
        <w:t>, from DU</w:t>
      </w:r>
      <w:r w:rsidR="003A691C">
        <w:t xml:space="preserve">09). </w:t>
      </w:r>
      <w:r>
        <w:t>The use of variational bias correction thus represents one of the most important advancements in the assimilation methodology of the current generation of reanalyses.</w:t>
      </w:r>
    </w:p>
    <w:p w:rsidR="00635B58" w:rsidRDefault="003A691C" w:rsidP="002C1075">
      <w:r>
        <w:rPr>
          <w:noProof/>
        </w:rPr>
        <w:drawing>
          <wp:inline distT="0" distB="0" distL="0" distR="0">
            <wp:extent cx="5943600" cy="1276235"/>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943600" cy="1276235"/>
                    </a:xfrm>
                    <a:prstGeom prst="rect">
                      <a:avLst/>
                    </a:prstGeom>
                    <a:noFill/>
                    <a:ln w="9525">
                      <a:noFill/>
                      <a:miter lim="800000"/>
                      <a:headEnd/>
                      <a:tailEnd/>
                    </a:ln>
                  </pic:spPr>
                </pic:pic>
              </a:graphicData>
            </a:graphic>
          </wp:inline>
        </w:drawing>
      </w:r>
    </w:p>
    <w:p w:rsidR="003A691C" w:rsidRPr="00F4565F" w:rsidRDefault="00F4565F" w:rsidP="00F4565F">
      <w:pPr>
        <w:pStyle w:val="FigureCaption"/>
      </w:pPr>
      <w:r>
        <w:t>Figure 1</w:t>
      </w:r>
      <w:r w:rsidR="00C75038">
        <w:t xml:space="preserve">: </w:t>
      </w:r>
      <w:r w:rsidR="00C75038" w:rsidRPr="00C75038">
        <w:t>Tropical ave</w:t>
      </w:r>
      <w:r w:rsidR="00BE3CC2">
        <w:t>rages (</w:t>
      </w:r>
      <w:r>
        <w:t>20°S-</w:t>
      </w:r>
      <w:r w:rsidR="00BE3CC2">
        <w:t>20°</w:t>
      </w:r>
      <w:r w:rsidR="00C75038">
        <w:t xml:space="preserve">N) of 12-hourly </w:t>
      </w:r>
      <w:r w:rsidR="00C75038" w:rsidRPr="00C75038">
        <w:t>variational bias estimates (K) for HIRS channel 11 radiance</w:t>
      </w:r>
      <w:r w:rsidR="00C75038">
        <w:t xml:space="preserve"> </w:t>
      </w:r>
      <w:r w:rsidR="00C75038" w:rsidRPr="00C75038">
        <w:t>data from NOAA-11 and NOAA-12</w:t>
      </w:r>
      <w:r w:rsidR="00C75038">
        <w:t xml:space="preserve"> in ERA-Interim</w:t>
      </w:r>
      <w:r>
        <w:t xml:space="preserve"> (from Dee and </w:t>
      </w:r>
      <w:proofErr w:type="spellStart"/>
      <w:r>
        <w:t>Uppala</w:t>
      </w:r>
      <w:proofErr w:type="spellEnd"/>
      <w:r>
        <w:t>, 2009)</w:t>
      </w:r>
      <w:r w:rsidR="00C75038" w:rsidRPr="00C75038">
        <w:t>.</w:t>
      </w:r>
    </w:p>
    <w:p w:rsidR="00A026D1" w:rsidRDefault="00A026D1" w:rsidP="002C1075">
      <w:pPr>
        <w:rPr>
          <w:rStyle w:val="Emphasis"/>
          <w:sz w:val="20"/>
        </w:rPr>
      </w:pPr>
    </w:p>
    <w:p w:rsidR="00A026D1" w:rsidRDefault="00E04924" w:rsidP="00A026D1">
      <w:pPr>
        <w:jc w:val="center"/>
        <w:rPr>
          <w:rStyle w:val="Emphasis"/>
        </w:rPr>
      </w:pPr>
      <w:r>
        <w:rPr>
          <w:i/>
          <w:noProof/>
        </w:rPr>
        <w:pict>
          <v:shapetype id="_x0000_t202" coordsize="21600,21600" o:spt="202" path="m0,0l0,21600,21600,21600,21600,0xe">
            <v:stroke joinstyle="miter"/>
            <v:path gradientshapeok="t" o:connecttype="rect"/>
          </v:shapetype>
          <v:shape id="_x0000_s1045" type="#_x0000_t202" style="position:absolute;left:0;text-align:left;margin-left:36pt;margin-top:16.1pt;width:27pt;height:34.75pt;z-index:251674624;mso-wrap-edited:f;mso-position-horizontal:absolute;mso-position-vertical:absolute" wrapcoords="0 0 21600 0 21600 21600 0 21600 0 0" filled="f" stroked="f">
            <v:fill o:detectmouseclick="t"/>
            <v:textbox inset=",7.2pt,,7.2pt">
              <w:txbxContent>
                <w:p w:rsidR="00B41FDF" w:rsidRPr="00F4565F" w:rsidRDefault="00B41FDF">
                  <w:pPr>
                    <w:rPr>
                      <w:rFonts w:ascii="Helvetica" w:hAnsi="Helvetica"/>
                      <w:sz w:val="28"/>
                    </w:rPr>
                  </w:pPr>
                  <w:proofErr w:type="gramStart"/>
                  <w:r w:rsidRPr="00F4565F">
                    <w:rPr>
                      <w:rFonts w:ascii="Helvetica" w:hAnsi="Helvetica"/>
                      <w:sz w:val="28"/>
                    </w:rPr>
                    <w:t>a</w:t>
                  </w:r>
                  <w:proofErr w:type="gramEnd"/>
                </w:p>
              </w:txbxContent>
            </v:textbox>
          </v:shape>
        </w:pict>
      </w:r>
      <w:r w:rsidR="00A026D1" w:rsidRPr="00A026D1">
        <w:rPr>
          <w:i/>
          <w:noProof/>
        </w:rPr>
        <w:drawing>
          <wp:inline distT="0" distB="0" distL="0" distR="0">
            <wp:extent cx="5486400" cy="1471930"/>
            <wp:effectExtent l="25400" t="0" r="0" b="0"/>
            <wp:docPr id="2" name="P 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
                    <a:srcRect b="19905"/>
                    <a:stretch>
                      <a:fillRect/>
                    </a:stretch>
                  </pic:blipFill>
                  <pic:spPr bwMode="auto">
                    <a:xfrm>
                      <a:off x="0" y="0"/>
                      <a:ext cx="5486400" cy="1471930"/>
                    </a:xfrm>
                    <a:prstGeom prst="rect">
                      <a:avLst/>
                    </a:prstGeom>
                    <a:noFill/>
                    <a:ln w="9525">
                      <a:noFill/>
                      <a:miter lim="800000"/>
                      <a:headEnd/>
                      <a:tailEnd/>
                    </a:ln>
                  </pic:spPr>
                </pic:pic>
              </a:graphicData>
            </a:graphic>
          </wp:inline>
        </w:drawing>
      </w:r>
    </w:p>
    <w:p w:rsidR="00A026D1" w:rsidRDefault="00E04924" w:rsidP="00A026D1">
      <w:pPr>
        <w:jc w:val="center"/>
        <w:rPr>
          <w:rStyle w:val="Emphasis"/>
        </w:rPr>
      </w:pPr>
      <w:r>
        <w:rPr>
          <w:i/>
          <w:noProof/>
        </w:rPr>
        <w:pict>
          <v:shape id="_x0000_s1046" type="#_x0000_t202" style="position:absolute;left:0;text-align:left;margin-left:32.75pt;margin-top:-9pt;width:27pt;height:34.75pt;z-index:251675648;mso-wrap-edited:f;mso-position-horizontal:absolute;mso-position-vertical:absolute" wrapcoords="0 0 21600 0 21600 21600 0 21600 0 0" filled="f" stroked="f">
            <v:fill o:detectmouseclick="t"/>
            <v:textbox inset=",7.2pt,,7.2pt">
              <w:txbxContent>
                <w:p w:rsidR="00B41FDF" w:rsidRPr="00F4565F" w:rsidRDefault="00B41FDF" w:rsidP="00F4565F">
                  <w:pPr>
                    <w:rPr>
                      <w:rFonts w:ascii="Helvetica" w:hAnsi="Helvetica"/>
                      <w:sz w:val="28"/>
                    </w:rPr>
                  </w:pPr>
                  <w:proofErr w:type="gramStart"/>
                  <w:r>
                    <w:rPr>
                      <w:rFonts w:ascii="Helvetica" w:hAnsi="Helvetica"/>
                      <w:sz w:val="28"/>
                    </w:rPr>
                    <w:t>b</w:t>
                  </w:r>
                  <w:proofErr w:type="gramEnd"/>
                </w:p>
              </w:txbxContent>
            </v:textbox>
          </v:shape>
        </w:pict>
      </w:r>
      <w:r w:rsidR="00A026D1" w:rsidRPr="00A026D1">
        <w:rPr>
          <w:i/>
          <w:noProof/>
        </w:rPr>
        <w:drawing>
          <wp:inline distT="0" distB="0" distL="0" distR="0">
            <wp:extent cx="4955540" cy="1441953"/>
            <wp:effectExtent l="25400" t="0" r="0" b="0"/>
            <wp:docPr id="3" name="P 2"/>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8"/>
                    <a:srcRect t="56401" r="-2775"/>
                    <a:stretch>
                      <a:fillRect/>
                    </a:stretch>
                  </pic:blipFill>
                  <pic:spPr bwMode="auto">
                    <a:xfrm>
                      <a:off x="0" y="0"/>
                      <a:ext cx="4958176" cy="1442720"/>
                    </a:xfrm>
                    <a:prstGeom prst="rect">
                      <a:avLst/>
                    </a:prstGeom>
                    <a:noFill/>
                    <a:ln w="9525">
                      <a:noFill/>
                      <a:miter lim="800000"/>
                      <a:headEnd/>
                      <a:tailEnd/>
                    </a:ln>
                  </pic:spPr>
                </pic:pic>
              </a:graphicData>
            </a:graphic>
          </wp:inline>
        </w:drawing>
      </w:r>
    </w:p>
    <w:p w:rsidR="00A026D1" w:rsidRDefault="00F4565F" w:rsidP="00BE3CC2">
      <w:pPr>
        <w:pStyle w:val="FigureCaption"/>
      </w:pPr>
      <w:r>
        <w:t>Figure 2</w:t>
      </w:r>
      <w:r w:rsidR="00A026D1">
        <w:t xml:space="preserve">: </w:t>
      </w:r>
      <w:r w:rsidR="00BE3CC2" w:rsidRPr="00BE3CC2">
        <w:t>Global mean 12-hourly variational bias estimates (K) for MSU channel 2 radiance data from NOAA-10, NOAA-11, NOAA-12, and</w:t>
      </w:r>
      <w:r w:rsidR="00BE3CC2">
        <w:t xml:space="preserve"> </w:t>
      </w:r>
      <w:r w:rsidR="00BE3CC2" w:rsidRPr="00BE3CC2">
        <w:t>NOAA-14.</w:t>
      </w:r>
      <w:r w:rsidR="00BE3CC2">
        <w:t xml:space="preserve"> The upper panel is from ERA-Interim </w:t>
      </w:r>
      <w:r w:rsidR="00B247CA">
        <w:t xml:space="preserve">(from Dee and </w:t>
      </w:r>
      <w:proofErr w:type="spellStart"/>
      <w:r w:rsidR="00B247CA">
        <w:t>Uppala</w:t>
      </w:r>
      <w:proofErr w:type="spellEnd"/>
      <w:r w:rsidR="00B247CA">
        <w:t xml:space="preserve">, 2009) </w:t>
      </w:r>
      <w:r w:rsidR="00BE3CC2">
        <w:t>and the lower panel is from MERRA. The latter uses the cross-calibrated MSU data from NOAA/NESDIS.</w:t>
      </w:r>
    </w:p>
    <w:p w:rsidR="00B247CA" w:rsidRDefault="00B247CA" w:rsidP="00B247CA">
      <w:pPr>
        <w:pStyle w:val="Heading2"/>
      </w:pPr>
      <w:r>
        <w:t>Observations</w:t>
      </w:r>
    </w:p>
    <w:p w:rsidR="00B247CA" w:rsidRPr="005F1B30" w:rsidRDefault="00B247CA" w:rsidP="00B247CA">
      <w:pPr>
        <w:rPr>
          <w:rStyle w:val="Emphasis"/>
          <w:rFonts w:asciiTheme="majorHAnsi" w:eastAsiaTheme="majorEastAsia" w:hAnsiTheme="majorHAnsi" w:cstheme="majorBidi"/>
          <w:b/>
          <w:bCs/>
          <w:color w:val="4F81BD" w:themeColor="accent1"/>
          <w:sz w:val="26"/>
          <w:szCs w:val="26"/>
        </w:rPr>
      </w:pPr>
      <w:r>
        <w:t xml:space="preserve">Just as variational bias correction has provided significant benefit to the assimilation of satellite radiances, so have efforts (by data providers and others) to calibrate or reprocess certain observation data sets improved their usefulness in the current reanalyses. In terms of satellite observations, the Microwave Sounding Unit (MSU) on board NOAA-10, -11, -12 and -14 provides one of the longest records of remotely sensed atmospheric temperature from a single sensor type, extending from 1978—2007 with overlapping lifetimes of up to three years between satellites.  In the original data sets, the global mean bias estimates for the same MSU channel on different satellites differ by up to a degree or more (Figure 2a), limiting the usefulness of these data for climate-change research and possibly having a negative effect in the variational bias correction scheme. </w:t>
      </w:r>
      <w:r w:rsidRPr="00E51AB4">
        <w:t>The</w:t>
      </w:r>
      <w:r w:rsidRPr="00E51AB4">
        <w:rPr>
          <w:i/>
        </w:rPr>
        <w:t xml:space="preserve"> </w:t>
      </w:r>
      <w:r w:rsidRPr="005F1B30">
        <w:rPr>
          <w:rStyle w:val="Emphasis"/>
          <w:i w:val="0"/>
        </w:rPr>
        <w:t>National Environmental Satellite, Data, and Information Service (NESDIS) has begun recalibrating observations from MSU and other instruments using a simultaneous nadir overpass (</w:t>
      </w:r>
      <w:r w:rsidRPr="005F1B30">
        <w:rPr>
          <w:rStyle w:val="Emphasis"/>
          <w:i w:val="0"/>
          <w:color w:val="000000" w:themeColor="text1"/>
        </w:rPr>
        <w:t xml:space="preserve">SNO, e.g., </w:t>
      </w:r>
      <w:proofErr w:type="spellStart"/>
      <w:r w:rsidRPr="005F1B30">
        <w:rPr>
          <w:rStyle w:val="Emphasis"/>
          <w:i w:val="0"/>
          <w:color w:val="000000" w:themeColor="text1"/>
        </w:rPr>
        <w:t>Zou</w:t>
      </w:r>
      <w:proofErr w:type="spellEnd"/>
      <w:r w:rsidRPr="005F1B30">
        <w:rPr>
          <w:rStyle w:val="Emphasis"/>
          <w:i w:val="0"/>
          <w:color w:val="000000" w:themeColor="text1"/>
        </w:rPr>
        <w:t xml:space="preserve"> et al., 2006)</w:t>
      </w:r>
      <w:r w:rsidRPr="005F1B30">
        <w:rPr>
          <w:rStyle w:val="Emphasis"/>
          <w:i w:val="0"/>
        </w:rPr>
        <w:t xml:space="preserve"> method. The recalibrated radiances for MSU channels 1—3 have been assimilated in MERRA, and exhibit near-uniform biases with a discernible upward trend over the len</w:t>
      </w:r>
      <w:r>
        <w:rPr>
          <w:rStyle w:val="Emphasis"/>
          <w:i w:val="0"/>
        </w:rPr>
        <w:t>gth of the data record  (Figure 2</w:t>
      </w:r>
      <w:r w:rsidRPr="005F1B30">
        <w:rPr>
          <w:rStyle w:val="Emphasis"/>
          <w:i w:val="0"/>
        </w:rPr>
        <w:t>b).</w:t>
      </w:r>
    </w:p>
    <w:p w:rsidR="004B27DF" w:rsidRDefault="00DE7F26" w:rsidP="00FD79B2">
      <w:r>
        <w:t xml:space="preserve">Another important observational item worthy of mention is the treatment of radiosonde data since these data continue to have a major impact on global analyses. </w:t>
      </w:r>
      <w:r w:rsidR="00B247CA">
        <w:t>In addition to the radiation bias correction that all reanalyses applied to radiosonde temperatures to account for changing solar effects on the thermi</w:t>
      </w:r>
      <w:r>
        <w:t xml:space="preserve">stor, MERRA and ERA-Interim applied some additional pre-processing corrections. </w:t>
      </w:r>
      <w:r w:rsidR="00B247CA">
        <w:t xml:space="preserve"> </w:t>
      </w:r>
      <w:r>
        <w:t xml:space="preserve">Corrections for </w:t>
      </w:r>
      <w:r w:rsidR="00BE3CC2" w:rsidRPr="00BE3CC2">
        <w:rPr>
          <w:color w:val="000000" w:themeColor="text1"/>
        </w:rPr>
        <w:t>MERRA</w:t>
      </w:r>
      <w:r w:rsidR="005F1B30">
        <w:t xml:space="preserve"> </w:t>
      </w:r>
      <w:r w:rsidR="00635B58">
        <w:t>include</w:t>
      </w:r>
      <w:r>
        <w:t>d</w:t>
      </w:r>
      <w:r w:rsidR="00635B58">
        <w:t xml:space="preserve"> the removal </w:t>
      </w:r>
      <w:r w:rsidR="00B247CA">
        <w:t xml:space="preserve">of </w:t>
      </w:r>
      <w:r w:rsidR="00635B58" w:rsidRPr="004E2026">
        <w:t xml:space="preserve">large time-mean temperature differences </w:t>
      </w:r>
      <w:r w:rsidR="00635B58">
        <w:t xml:space="preserve">in radiosonde observations collected at 00 and </w:t>
      </w:r>
      <w:r w:rsidR="00635B58" w:rsidRPr="004E2026">
        <w:t xml:space="preserve">12 UTC </w:t>
      </w:r>
      <w:r w:rsidR="00635B58">
        <w:t xml:space="preserve">with the </w:t>
      </w:r>
      <w:r w:rsidR="00635B58" w:rsidRPr="004E2026">
        <w:t xml:space="preserve">Vaisala RS-80 </w:t>
      </w:r>
      <w:r w:rsidR="00635B58">
        <w:t xml:space="preserve">instrument.  The differences occur as a result of a </w:t>
      </w:r>
      <w:r w:rsidR="00635B58" w:rsidRPr="004E2026">
        <w:t xml:space="preserve">coding error in </w:t>
      </w:r>
      <w:r w:rsidR="00635B58">
        <w:t xml:space="preserve">the </w:t>
      </w:r>
      <w:r w:rsidR="00635B58" w:rsidRPr="004E2026">
        <w:t>post-processing software at the observing stations</w:t>
      </w:r>
      <w:r w:rsidR="00635B58">
        <w:t>,</w:t>
      </w:r>
      <w:r w:rsidR="00635B58" w:rsidRPr="004E2026">
        <w:t xml:space="preserve"> </w:t>
      </w:r>
      <w:r w:rsidR="00635B58">
        <w:t xml:space="preserve">and primarily affect observations in the stratosphere </w:t>
      </w:r>
      <w:r w:rsidR="00635B58" w:rsidRPr="004E2026">
        <w:t>(R</w:t>
      </w:r>
      <w:r w:rsidR="008C5E33">
        <w:t>edder et al.</w:t>
      </w:r>
      <w:r w:rsidR="00731660">
        <w:t>,</w:t>
      </w:r>
      <w:r w:rsidR="008C5E33">
        <w:t xml:space="preserve"> 2004). </w:t>
      </w:r>
      <w:r w:rsidR="00635B58">
        <w:t>The homogenization scheme</w:t>
      </w:r>
      <w:r w:rsidR="00635B58" w:rsidRPr="004E2026">
        <w:t xml:space="preserve"> </w:t>
      </w:r>
      <w:r w:rsidR="00635B58">
        <w:t xml:space="preserve">of </w:t>
      </w:r>
      <w:proofErr w:type="spellStart"/>
      <w:r w:rsidR="00635B58">
        <w:t>Haimberger</w:t>
      </w:r>
      <w:proofErr w:type="spellEnd"/>
      <w:r w:rsidR="00635B58" w:rsidRPr="004E2026">
        <w:t xml:space="preserve"> (2007) </w:t>
      </w:r>
      <w:r>
        <w:t>was then</w:t>
      </w:r>
      <w:r w:rsidR="00635B58">
        <w:t xml:space="preserve"> applied to radiosonde observations</w:t>
      </w:r>
      <w:r w:rsidR="002C1075">
        <w:t xml:space="preserve"> </w:t>
      </w:r>
      <w:r w:rsidR="002C1075" w:rsidRPr="00DC017E">
        <w:rPr>
          <w:color w:val="000000" w:themeColor="text1"/>
        </w:rPr>
        <w:t>(</w:t>
      </w:r>
      <w:r w:rsidR="00DC017E" w:rsidRPr="00DC017E">
        <w:rPr>
          <w:color w:val="000000" w:themeColor="text1"/>
        </w:rPr>
        <w:t>until 2005</w:t>
      </w:r>
      <w:r w:rsidR="002C1075" w:rsidRPr="00DC017E">
        <w:rPr>
          <w:color w:val="000000" w:themeColor="text1"/>
        </w:rPr>
        <w:t>)</w:t>
      </w:r>
      <w:r w:rsidR="00635B58" w:rsidRPr="00DC017E">
        <w:rPr>
          <w:color w:val="000000" w:themeColor="text1"/>
        </w:rPr>
        <w:t>,</w:t>
      </w:r>
      <w:r w:rsidR="00635B58">
        <w:t xml:space="preserve"> with</w:t>
      </w:r>
      <w:r w:rsidR="00635B58" w:rsidRPr="004E2026">
        <w:t xml:space="preserve"> </w:t>
      </w:r>
      <w:r w:rsidR="00635B58">
        <w:t xml:space="preserve">updated values consistent with </w:t>
      </w:r>
      <w:r w:rsidR="00635B58" w:rsidRPr="004E2026">
        <w:t xml:space="preserve">the Vaisala </w:t>
      </w:r>
      <w:r w:rsidR="00635B58">
        <w:t>RS-8</w:t>
      </w:r>
      <w:r w:rsidR="008C5E33">
        <w:t xml:space="preserve">0 corrections described above. </w:t>
      </w:r>
      <w:r>
        <w:t xml:space="preserve">ERA-Interim also applied </w:t>
      </w:r>
      <w:proofErr w:type="spellStart"/>
      <w:r>
        <w:t>Haimberger’s</w:t>
      </w:r>
      <w:proofErr w:type="spellEnd"/>
      <w:r>
        <w:t xml:space="preserve"> homogenization correction, but using the correction developed without the prior correction of Vaisala RS-80 data. Finally, since those prior corrections were made for MERRA, the</w:t>
      </w:r>
      <w:r w:rsidR="00635B58">
        <w:t xml:space="preserve"> radiation bias correc</w:t>
      </w:r>
      <w:r>
        <w:t xml:space="preserve">tion </w:t>
      </w:r>
      <w:r w:rsidR="002C1075">
        <w:t>applied to</w:t>
      </w:r>
      <w:r w:rsidR="00635B58">
        <w:t xml:space="preserve"> radiosonde te</w:t>
      </w:r>
      <w:r w:rsidR="002C1075">
        <w:t>mperature</w:t>
      </w:r>
      <w:r w:rsidR="00635B58">
        <w:t xml:space="preserve"> observations</w:t>
      </w:r>
      <w:r w:rsidR="002C1075">
        <w:t xml:space="preserve"> </w:t>
      </w:r>
      <w:r w:rsidR="002C1075" w:rsidRPr="00DC017E">
        <w:rPr>
          <w:color w:val="000000" w:themeColor="text1"/>
        </w:rPr>
        <w:t>(</w:t>
      </w:r>
      <w:r w:rsidR="00DC017E" w:rsidRPr="00DC017E">
        <w:rPr>
          <w:color w:val="000000" w:themeColor="text1"/>
        </w:rPr>
        <w:t>until 2005</w:t>
      </w:r>
      <w:r w:rsidR="002C1075" w:rsidRPr="00DC017E">
        <w:rPr>
          <w:color w:val="000000" w:themeColor="text1"/>
        </w:rPr>
        <w:t>)</w:t>
      </w:r>
      <w:r>
        <w:rPr>
          <w:color w:val="000000" w:themeColor="text1"/>
        </w:rPr>
        <w:t xml:space="preserve"> was modified so that it could</w:t>
      </w:r>
      <w:r>
        <w:t xml:space="preserve"> still</w:t>
      </w:r>
      <w:r w:rsidR="00635B58">
        <w:t xml:space="preserve"> account for seasonal changes in the solar</w:t>
      </w:r>
      <w:r w:rsidR="00635B58" w:rsidRPr="004E2026">
        <w:t xml:space="preserve"> elevation angle</w:t>
      </w:r>
      <w:r>
        <w:t xml:space="preserve"> that affect the thermi</w:t>
      </w:r>
      <w:r w:rsidR="00033337">
        <w:t>stor even in the presence of tho</w:t>
      </w:r>
      <w:r>
        <w:t>se other corrections.</w:t>
      </w:r>
    </w:p>
    <w:p w:rsidR="00B50721" w:rsidRDefault="003B7DFB" w:rsidP="003A1175">
      <w:pPr>
        <w:pStyle w:val="Heading1"/>
      </w:pPr>
      <w:r>
        <w:t>Quality of the</w:t>
      </w:r>
      <w:r w:rsidR="00EB6300">
        <w:t xml:space="preserve"> R</w:t>
      </w:r>
      <w:r w:rsidR="004F4BDF" w:rsidRPr="0066139B">
        <w:t>eanalyses</w:t>
      </w:r>
    </w:p>
    <w:p w:rsidR="004451B4" w:rsidRDefault="004451B4" w:rsidP="004451B4">
      <w:r>
        <w:t xml:space="preserve">In this section, we provide an assessment of the extent to which these system advances have led to measureable improvements in the reanalysis products. We briefly look at several, mostly climate-oriented, metrics that can be used to evaluate the quality of the reanalyses.  The view includes both improvements over the previous generation of analyses and </w:t>
      </w:r>
      <w:r w:rsidR="0008405F">
        <w:t xml:space="preserve">remaining </w:t>
      </w:r>
      <w:r>
        <w:t xml:space="preserve">deficiencies. For the latter, we attempt to highlight the problems that are common to all the reanalyses, while for the former we highlight major improvements regardless of whether or not they occur in all the reanalyses.  In that way we hope to avoid focusing on problems that are specific to any one system, while emphasizing the capabilities and promises that current reanalysis technologies can offer the climate community. </w:t>
      </w:r>
    </w:p>
    <w:p w:rsidR="0008405F" w:rsidRDefault="0008405F" w:rsidP="0008405F">
      <w:r>
        <w:t>A basic question is how to measure the quality of reanalysis products. The current discussion is organized around four types of metrics: (1) the quality of forecasts made from the analyzed states, which itself requires appropriate metrics; (2) climate-related diagnostics with comparisons against observation-only based products; (3) the magnitude and nature of analysis increments, particularly systematic corrections that are required to keep the assimilation close to the observed trajectory and affect the energy and water budgets of the atmosphere; and (4) the sensitivity of the product to changes in the observing system, which is particularly important if the reanalyses are to be useful in assessing climate change.</w:t>
      </w:r>
    </w:p>
    <w:p w:rsidR="004451B4" w:rsidRDefault="004451B4" w:rsidP="004451B4">
      <w:pPr>
        <w:pStyle w:val="Heading2"/>
      </w:pPr>
      <w:r>
        <w:t>Evaluations through weather forecast skill</w:t>
      </w:r>
    </w:p>
    <w:p w:rsidR="00033337" w:rsidRDefault="00436047" w:rsidP="00033337">
      <w:r>
        <w:t>The occasional repetition of the exercise of analyzing historical meteorological data has been driven by the steady improvements of the data assimilation systems used for operational weather predictions.  Modern systems are capable of extracting much more information from earlier data than the systems that were operational at the time the observations were taken.  This effect is dram</w:t>
      </w:r>
      <w:r w:rsidR="00033337">
        <w:t xml:space="preserve">atically illustrated in Figure 3 </w:t>
      </w:r>
      <w:r w:rsidR="004451B4">
        <w:t>(</w:t>
      </w:r>
      <w:r w:rsidR="00033337">
        <w:t>from DU09</w:t>
      </w:r>
      <w:r w:rsidR="004451B4">
        <w:t>)</w:t>
      </w:r>
      <w:r>
        <w:t>, which shows how the forecast skill of the operational ECWMF system has improved over time (upper panel), as compared with the forecast skill when more recent ECMWF systems are used to re-analyze the historical observation (lower panel). Since both operational and reanalysis forecasts are based on practically</w:t>
      </w:r>
      <w:r>
        <w:rPr>
          <w:rStyle w:val="FootnoteReference"/>
        </w:rPr>
        <w:footnoteReference w:id="-1"/>
      </w:r>
      <w:r>
        <w:t xml:space="preserve"> identical observation streams, the difference between the two can be attributed almost solely to improvements in the data assimilation system – better models and better analysis techniques</w:t>
      </w:r>
      <w:r w:rsidR="00033337">
        <w:t xml:space="preserve">. </w:t>
      </w:r>
    </w:p>
    <w:p w:rsidR="00436047" w:rsidRDefault="00436047" w:rsidP="00033337">
      <w:pPr>
        <w:jc w:val="center"/>
      </w:pPr>
      <w:r>
        <w:rPr>
          <w:noProof/>
        </w:rPr>
        <w:drawing>
          <wp:inline distT="0" distB="0" distL="0" distR="0">
            <wp:extent cx="2937325" cy="1769548"/>
            <wp:effectExtent l="19050" t="0" r="0" b="0"/>
            <wp:docPr id="4" name="P 3" descr="p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ss"/>
                    <pic:cNvPicPr>
                      <a:picLocks noChangeAspect="1" noChangeArrowheads="1"/>
                    </pic:cNvPicPr>
                  </pic:nvPicPr>
                  <pic:blipFill>
                    <a:blip r:embed="rId10" cstate="print"/>
                    <a:srcRect l="2376" t="15791" r="2011" b="43425"/>
                    <a:stretch>
                      <a:fillRect/>
                    </a:stretch>
                  </pic:blipFill>
                  <pic:spPr bwMode="auto">
                    <a:xfrm>
                      <a:off x="0" y="0"/>
                      <a:ext cx="2937325" cy="1769548"/>
                    </a:xfrm>
                    <a:prstGeom prst="rect">
                      <a:avLst/>
                    </a:prstGeom>
                    <a:noFill/>
                  </pic:spPr>
                </pic:pic>
              </a:graphicData>
            </a:graphic>
          </wp:inline>
        </w:drawing>
      </w:r>
    </w:p>
    <w:p w:rsidR="00436047" w:rsidRDefault="00436047" w:rsidP="00436047">
      <w:pPr>
        <w:jc w:val="center"/>
      </w:pPr>
      <w:r>
        <w:rPr>
          <w:noProof/>
        </w:rPr>
        <w:drawing>
          <wp:inline distT="0" distB="0" distL="0" distR="0">
            <wp:extent cx="2935817" cy="1653930"/>
            <wp:effectExtent l="25400" t="0" r="10583" b="0"/>
            <wp:docPr id="17" name="P 4" descr="p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ss"/>
                    <pic:cNvPicPr>
                      <a:picLocks noChangeAspect="1" noChangeArrowheads="1"/>
                    </pic:cNvPicPr>
                  </pic:nvPicPr>
                  <pic:blipFill>
                    <a:blip r:embed="rId10" cstate="print"/>
                    <a:srcRect l="2376" t="56175" r="2011" b="5755"/>
                    <a:stretch>
                      <a:fillRect/>
                    </a:stretch>
                  </pic:blipFill>
                  <pic:spPr bwMode="auto">
                    <a:xfrm>
                      <a:off x="0" y="0"/>
                      <a:ext cx="2935817" cy="1653930"/>
                    </a:xfrm>
                    <a:prstGeom prst="rect">
                      <a:avLst/>
                    </a:prstGeom>
                    <a:noFill/>
                  </pic:spPr>
                </pic:pic>
              </a:graphicData>
            </a:graphic>
          </wp:inline>
        </w:drawing>
      </w:r>
    </w:p>
    <w:p w:rsidR="0008405F" w:rsidRDefault="0008405F" w:rsidP="0008405F">
      <w:pPr>
        <w:pStyle w:val="FigureCaption"/>
      </w:pPr>
      <w:r>
        <w:t xml:space="preserve">Figure 3: Extratropical anomaly correlations for 3-, 5-, and 7-day forecasts of </w:t>
      </w:r>
      <w:proofErr w:type="gramStart"/>
      <w:r>
        <w:t xml:space="preserve">500 </w:t>
      </w:r>
      <w:proofErr w:type="spellStart"/>
      <w:r>
        <w:t>hPa</w:t>
      </w:r>
      <w:proofErr w:type="spellEnd"/>
      <w:proofErr w:type="gramEnd"/>
      <w:r>
        <w:t xml:space="preserve"> height based on the ECMWF operational forecast system (top) and the ERA-Interim and ERA-40 reanalyses (bottom), after Dee and </w:t>
      </w:r>
      <w:proofErr w:type="spellStart"/>
      <w:r>
        <w:t>Uppala</w:t>
      </w:r>
      <w:proofErr w:type="spellEnd"/>
      <w:r>
        <w:t xml:space="preserve"> (2009).</w:t>
      </w:r>
    </w:p>
    <w:p w:rsidR="004451B4" w:rsidRDefault="00752A6D" w:rsidP="000B1FFB">
      <w:r>
        <w:t>Improving the a</w:t>
      </w:r>
      <w:r w:rsidR="006535FB">
        <w:t xml:space="preserve">ccuracy </w:t>
      </w:r>
      <w:r>
        <w:t xml:space="preserve">of an analysis </w:t>
      </w:r>
      <w:r w:rsidR="006535FB">
        <w:t xml:space="preserve">is a central concern </w:t>
      </w:r>
      <w:r w:rsidR="008F1626">
        <w:t>of</w:t>
      </w:r>
      <w:r w:rsidR="006535FB">
        <w:t xml:space="preserve"> </w:t>
      </w:r>
      <w:r w:rsidR="008F1626">
        <w:t xml:space="preserve">the </w:t>
      </w:r>
      <w:r w:rsidR="006535FB">
        <w:t xml:space="preserve">numerical weather prediction community </w:t>
      </w:r>
      <w:r w:rsidR="008F1626">
        <w:t>as a means of</w:t>
      </w:r>
      <w:r w:rsidR="006535FB">
        <w:t xml:space="preserve"> achiev</w:t>
      </w:r>
      <w:r w:rsidR="00731660">
        <w:t>ing improved forecast skill.</w:t>
      </w:r>
      <w:r w:rsidR="008F1626">
        <w:t xml:space="preserve"> </w:t>
      </w:r>
      <w:r w:rsidR="00562016">
        <w:t xml:space="preserve">In the case of </w:t>
      </w:r>
      <w:r w:rsidR="00C50EA3">
        <w:t xml:space="preserve">climate </w:t>
      </w:r>
      <w:r w:rsidR="00562016">
        <w:t>reana</w:t>
      </w:r>
      <w:r w:rsidR="00C50EA3">
        <w:t>lyse</w:t>
      </w:r>
      <w:r w:rsidR="00562016">
        <w:t>s it can be debated whether</w:t>
      </w:r>
      <w:r w:rsidR="008F1626">
        <w:t xml:space="preserve"> improving accuracy (and therefore forecast skill) </w:t>
      </w:r>
      <w:r w:rsidR="00562016">
        <w:t>should receive priority over</w:t>
      </w:r>
      <w:r w:rsidR="008F1626">
        <w:t xml:space="preserve"> other improvements such as </w:t>
      </w:r>
      <w:r w:rsidR="00562016">
        <w:t xml:space="preserve">temporal consistency (see </w:t>
      </w:r>
      <w:r w:rsidR="004451B4">
        <w:t>sec</w:t>
      </w:r>
      <w:r w:rsidR="00A414DC">
        <w:t>tion 3.4</w:t>
      </w:r>
      <w:r w:rsidR="00562016">
        <w:t>)</w:t>
      </w:r>
      <w:r w:rsidR="00731660">
        <w:t xml:space="preserve">. </w:t>
      </w:r>
      <w:r w:rsidR="008F03AF">
        <w:t>I</w:t>
      </w:r>
      <w:r w:rsidR="008F1626">
        <w:t>t is clear</w:t>
      </w:r>
      <w:r w:rsidR="008F03AF">
        <w:t>, however,</w:t>
      </w:r>
      <w:r w:rsidR="008F1626">
        <w:t xml:space="preserve"> that </w:t>
      </w:r>
      <w:r w:rsidR="00562016">
        <w:t>accuracy</w:t>
      </w:r>
      <w:r w:rsidR="008F1626">
        <w:t xml:space="preserve"> is </w:t>
      </w:r>
      <w:r w:rsidR="00D93A7E">
        <w:t xml:space="preserve">nevertheless </w:t>
      </w:r>
      <w:r w:rsidR="008F1626">
        <w:t xml:space="preserve">an important </w:t>
      </w:r>
      <w:r w:rsidR="00562016">
        <w:t>property</w:t>
      </w:r>
      <w:r w:rsidR="008F1626">
        <w:t xml:space="preserve"> </w:t>
      </w:r>
      <w:r w:rsidR="00562016">
        <w:t>of reanalyse</w:t>
      </w:r>
      <w:r w:rsidR="008F1626">
        <w:t xml:space="preserve">s, impacting the quality of the first guess fields, </w:t>
      </w:r>
      <w:r w:rsidR="00D93A7E">
        <w:t>as well as the physical consistency of the products</w:t>
      </w:r>
      <w:r w:rsidR="00562016">
        <w:t xml:space="preserve"> (in the sense of having smaller analysis increments</w:t>
      </w:r>
      <w:r w:rsidR="002B6B42">
        <w:t xml:space="preserve"> – discussed further below</w:t>
      </w:r>
      <w:r w:rsidR="00562016">
        <w:t>)</w:t>
      </w:r>
      <w:r w:rsidR="00962504">
        <w:t>.</w:t>
      </w:r>
      <w:r w:rsidR="00A026D1">
        <w:t xml:space="preserve"> Figure 3</w:t>
      </w:r>
      <w:r w:rsidR="002C1DCD">
        <w:t xml:space="preserve"> shows how</w:t>
      </w:r>
      <w:r w:rsidR="004451B4">
        <w:t xml:space="preserve"> the ERA</w:t>
      </w:r>
      <w:r w:rsidR="00F15F56">
        <w:t xml:space="preserve">-Interim product has benefitted from the recent improvements to the </w:t>
      </w:r>
      <w:r w:rsidR="009E2044">
        <w:t xml:space="preserve">operational </w:t>
      </w:r>
      <w:r w:rsidR="00F15F56">
        <w:t xml:space="preserve">model </w:t>
      </w:r>
      <w:r w:rsidR="00CC2F5D">
        <w:t xml:space="preserve">and analysis system, showing essentially modern-day skill levels extending </w:t>
      </w:r>
      <w:r w:rsidR="009E2044">
        <w:t xml:space="preserve">back </w:t>
      </w:r>
      <w:r w:rsidR="00342F6A">
        <w:t xml:space="preserve">to the late 1980s where </w:t>
      </w:r>
      <w:r w:rsidR="006C224D">
        <w:t>they are</w:t>
      </w:r>
      <w:r w:rsidR="00342F6A">
        <w:t xml:space="preserve"> substantially above the </w:t>
      </w:r>
      <w:r w:rsidR="006C224D">
        <w:t>operational</w:t>
      </w:r>
      <w:r w:rsidR="00342F6A">
        <w:t xml:space="preserve"> skill levels of that time. </w:t>
      </w:r>
      <w:r w:rsidR="00F35E9A">
        <w:t xml:space="preserve"> Such an improvement in fact highlights the benefits of reanalyzing earlier periods </w:t>
      </w:r>
      <w:r w:rsidR="00B16E4C">
        <w:t>with a</w:t>
      </w:r>
      <w:r w:rsidR="00F35E9A">
        <w:t xml:space="preserve"> </w:t>
      </w:r>
      <w:r w:rsidR="00B16E4C">
        <w:t xml:space="preserve">fixed </w:t>
      </w:r>
      <w:r w:rsidR="0051713B">
        <w:t>modern-day</w:t>
      </w:r>
      <w:r w:rsidR="00F35E9A">
        <w:t xml:space="preserve"> data assimilation system </w:t>
      </w:r>
      <w:r w:rsidR="00081392">
        <w:t xml:space="preserve">(including improved observations) </w:t>
      </w:r>
      <w:r w:rsidR="00F35E9A">
        <w:t xml:space="preserve">in </w:t>
      </w:r>
      <w:r w:rsidR="00081392">
        <w:t>the sense that it</w:t>
      </w:r>
      <w:r w:rsidR="00F35E9A">
        <w:t xml:space="preserve"> </w:t>
      </w:r>
      <w:r w:rsidR="00081392">
        <w:t xml:space="preserve">can </w:t>
      </w:r>
      <w:r w:rsidR="00F35E9A">
        <w:t>improve the consistency of the reanalysis products in the face of a changing observing system.</w:t>
      </w:r>
    </w:p>
    <w:p w:rsidR="004451B4" w:rsidRDefault="004451B4" w:rsidP="000B1FFB">
      <w:pPr>
        <w:rPr>
          <w:color w:val="FF0000"/>
        </w:rPr>
      </w:pPr>
      <w:r>
        <w:rPr>
          <w:color w:val="FF0000"/>
        </w:rPr>
        <w:t>Is there any additional information from the CFSR?</w:t>
      </w:r>
    </w:p>
    <w:p w:rsidR="00A6676C" w:rsidRPr="004451B4" w:rsidRDefault="004451B4" w:rsidP="000B1FFB">
      <w:pPr>
        <w:pStyle w:val="Heading2"/>
      </w:pPr>
      <w:r>
        <w:t>Climate-related Diagnostics</w:t>
      </w:r>
    </w:p>
    <w:p w:rsidR="0067337C" w:rsidRDefault="0067337C" w:rsidP="0067337C">
      <w:pPr>
        <w:pStyle w:val="Heading3"/>
      </w:pPr>
      <w:r>
        <w:t>Water and Energy Cycles</w:t>
      </w:r>
    </w:p>
    <w:p w:rsidR="00A94469" w:rsidRDefault="00F069A0" w:rsidP="00A6676C">
      <w:r>
        <w:t>Current models have improved considera</w:t>
      </w:r>
      <w:r w:rsidR="00D828E0">
        <w:t>bly in the</w:t>
      </w:r>
      <w:r>
        <w:t xml:space="preserve"> representation of the hydrological cycle and reanalyses have benefited from that, though there are still outstanding issues especially in the representation of </w:t>
      </w:r>
      <w:r w:rsidR="00E53B5B">
        <w:t xml:space="preserve">precipitation and </w:t>
      </w:r>
      <w:r>
        <w:t>clouds</w:t>
      </w:r>
      <w:r w:rsidR="00A94469">
        <w:t>.  Figure 4</w:t>
      </w:r>
      <w:r w:rsidR="00D828E0">
        <w:t xml:space="preserve"> shows</w:t>
      </w:r>
      <w:r w:rsidR="00BE1ABC">
        <w:t xml:space="preserve"> </w:t>
      </w:r>
      <w:r w:rsidR="00F10F47">
        <w:t>that the quality of the precipitation has improved substantially in the more recent reanalyses</w:t>
      </w:r>
      <w:r w:rsidR="00A91537">
        <w:t xml:space="preserve"> in terms of both bias and spatial structure</w:t>
      </w:r>
      <w:r w:rsidR="00F10F47">
        <w:t xml:space="preserve">.  In fact, the time series of the spatial correlations </w:t>
      </w:r>
      <w:r w:rsidR="00FE14AE">
        <w:t>in Figure</w:t>
      </w:r>
      <w:r w:rsidR="00A94469">
        <w:t xml:space="preserve"> 4</w:t>
      </w:r>
      <w:r w:rsidR="00184139">
        <w:t xml:space="preserve"> </w:t>
      </w:r>
      <w:r w:rsidR="00F10F47">
        <w:t>show impr</w:t>
      </w:r>
      <w:r w:rsidR="004451B4">
        <w:t>ovements in the earlier years (compare</w:t>
      </w:r>
      <w:r w:rsidR="00F10F47">
        <w:t xml:space="preserve"> MERRA and </w:t>
      </w:r>
      <w:r w:rsidR="004451B4">
        <w:t xml:space="preserve">CFSR with </w:t>
      </w:r>
      <w:r w:rsidR="00F10F47">
        <w:t>ERA</w:t>
      </w:r>
      <w:r w:rsidR="00E25F92">
        <w:t>-</w:t>
      </w:r>
      <w:r w:rsidR="00F10F47">
        <w:t>40) that again highlight the benefits of reanalyzing historical observations with an improved data assimilation system.</w:t>
      </w:r>
      <w:r w:rsidR="004451B4">
        <w:t xml:space="preserve"> </w:t>
      </w:r>
      <w:r w:rsidR="00F6045B">
        <w:t xml:space="preserve">The spatial maps of </w:t>
      </w:r>
      <w:r w:rsidR="00BE1ABC">
        <w:t>t</w:t>
      </w:r>
      <w:r w:rsidR="008F092F">
        <w:t xml:space="preserve">he bias in the </w:t>
      </w:r>
      <w:r w:rsidR="0036267D">
        <w:t xml:space="preserve">January mean </w:t>
      </w:r>
      <w:r w:rsidR="008F092F">
        <w:t>precipitation fro</w:t>
      </w:r>
      <w:r w:rsidR="00BE1ABC">
        <w:t>m the various rean</w:t>
      </w:r>
      <w:r w:rsidR="008F092F">
        <w:t>a</w:t>
      </w:r>
      <w:r w:rsidR="0036267D">
        <w:t>lyses</w:t>
      </w:r>
      <w:r w:rsidR="004451B4">
        <w:t xml:space="preserve"> as estimated with the observation-only Global Precipitation Climatology Project (GPCP, </w:t>
      </w:r>
      <w:r w:rsidR="00E90BB9">
        <w:t>Figure</w:t>
      </w:r>
      <w:r w:rsidR="00A94469">
        <w:t xml:space="preserve"> 5</w:t>
      </w:r>
      <w:r w:rsidR="00E90BB9">
        <w:t>a</w:t>
      </w:r>
      <w:r w:rsidR="00E154E2">
        <w:t>)</w:t>
      </w:r>
      <w:r w:rsidR="0036267D">
        <w:t xml:space="preserve">, </w:t>
      </w:r>
      <w:r w:rsidR="00E90BB9">
        <w:t>and the summary Taylor plots (Figure 5b) show</w:t>
      </w:r>
      <w:r w:rsidR="00423B9C">
        <w:t xml:space="preserve"> that much of the</w:t>
      </w:r>
      <w:r w:rsidR="0036267D">
        <w:t xml:space="preserve"> improvement</w:t>
      </w:r>
      <w:r w:rsidR="00423B9C">
        <w:t xml:space="preserve"> has occurred over the tropical oceans</w:t>
      </w:r>
      <w:r w:rsidR="0036267D">
        <w:t xml:space="preserve">.   </w:t>
      </w:r>
    </w:p>
    <w:p w:rsidR="00A94469" w:rsidRDefault="00667C9D" w:rsidP="00D828E0">
      <w:pPr>
        <w:spacing w:after="0"/>
      </w:pPr>
      <w:r w:rsidRPr="00667C9D">
        <w:rPr>
          <w:noProof/>
        </w:rPr>
        <w:drawing>
          <wp:anchor distT="0" distB="0" distL="114300" distR="114300" simplePos="0" relativeHeight="251667456" behindDoc="0" locked="0" layoutInCell="1" allowOverlap="1">
            <wp:simplePos x="0" y="0"/>
            <wp:positionH relativeFrom="column">
              <wp:posOffset>0</wp:posOffset>
            </wp:positionH>
            <wp:positionV relativeFrom="paragraph">
              <wp:posOffset>185420</wp:posOffset>
            </wp:positionV>
            <wp:extent cx="522816" cy="787400"/>
            <wp:effectExtent l="25400" t="0" r="10584" b="0"/>
            <wp:wrapNone/>
            <wp:docPr id="35" name="Picture 9" descr="D:\WDir\Papers\MERRA GEB\Taylor figs\201009_morecolors_ANN_reg_taylors_ml_merra2_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Dir\Papers\MERRA GEB\Taylor figs\201009_morecolors_ANN_reg_taylors_ml_merra2_n1.png"/>
                    <pic:cNvPicPr>
                      <a:picLocks noChangeAspect="1" noChangeArrowheads="1"/>
                    </pic:cNvPicPr>
                  </pic:nvPicPr>
                  <pic:blipFill>
                    <a:blip r:embed="rId11" cstate="print"/>
                    <a:srcRect t="8023" r="87575" b="67478"/>
                    <a:stretch>
                      <a:fillRect/>
                    </a:stretch>
                  </pic:blipFill>
                  <pic:spPr bwMode="auto">
                    <a:xfrm>
                      <a:off x="0" y="0"/>
                      <a:ext cx="522816" cy="787400"/>
                    </a:xfrm>
                    <a:prstGeom prst="rect">
                      <a:avLst/>
                    </a:prstGeom>
                    <a:noFill/>
                    <a:ln w="9525">
                      <a:noFill/>
                      <a:miter lim="800000"/>
                      <a:headEnd/>
                      <a:tailEnd/>
                    </a:ln>
                  </pic:spPr>
                </pic:pic>
              </a:graphicData>
            </a:graphic>
          </wp:anchor>
        </w:drawing>
      </w:r>
      <w:r>
        <w:t xml:space="preserve">                </w:t>
      </w:r>
      <w:r w:rsidRPr="00667C9D">
        <w:rPr>
          <w:noProof/>
        </w:rPr>
        <w:drawing>
          <wp:inline distT="0" distB="0" distL="0" distR="0">
            <wp:extent cx="2372868" cy="1440180"/>
            <wp:effectExtent l="25400" t="0" r="0" b="0"/>
            <wp:docPr id="46" name="Picture 7" descr="D:\WDir\NEWS\Pmetric\MERRA\GIF\SCorr\SCorr_Ann_1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Dir\NEWS\Pmetric\MERRA\GIF\SCorr\SCorr_Ann_1515.png"/>
                    <pic:cNvPicPr preferRelativeResize="0">
                      <a:picLocks noChangeAspect="1" noChangeArrowheads="1"/>
                    </pic:cNvPicPr>
                  </pic:nvPicPr>
                  <pic:blipFill>
                    <a:blip r:embed="rId12" cstate="print"/>
                    <a:srcRect l="15188" t="9935" r="5875" b="18917"/>
                    <a:stretch>
                      <a:fillRect/>
                    </a:stretch>
                  </pic:blipFill>
                  <pic:spPr bwMode="auto">
                    <a:xfrm>
                      <a:off x="0" y="0"/>
                      <a:ext cx="2372868" cy="1440180"/>
                    </a:xfrm>
                    <a:prstGeom prst="rect">
                      <a:avLst/>
                    </a:prstGeom>
                    <a:noFill/>
                    <a:ln w="9525">
                      <a:noFill/>
                      <a:miter lim="800000"/>
                      <a:headEnd/>
                      <a:tailEnd/>
                    </a:ln>
                  </pic:spPr>
                </pic:pic>
              </a:graphicData>
            </a:graphic>
          </wp:inline>
        </w:drawing>
      </w:r>
      <w:r w:rsidRPr="00667C9D">
        <w:rPr>
          <w:noProof/>
        </w:rPr>
        <w:drawing>
          <wp:inline distT="0" distB="0" distL="0" distR="0">
            <wp:extent cx="2372868" cy="1432560"/>
            <wp:effectExtent l="25400" t="0" r="0" b="0"/>
            <wp:docPr id="51" name="Picture 10" descr="D:\WDir\NEWS\Pmetric\MERRA\GIF\SDev\SDev_Ann_1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Dir\NEWS\Pmetric\MERRA\GIF\SDev\SDev_Ann_1515.png"/>
                    <pic:cNvPicPr preferRelativeResize="0">
                      <a:picLocks noChangeAspect="1" noChangeArrowheads="1"/>
                    </pic:cNvPicPr>
                  </pic:nvPicPr>
                  <pic:blipFill>
                    <a:blip r:embed="rId13" cstate="print"/>
                    <a:srcRect l="15188" t="10593" r="5875" b="18917"/>
                    <a:stretch>
                      <a:fillRect/>
                    </a:stretch>
                  </pic:blipFill>
                  <pic:spPr bwMode="auto">
                    <a:xfrm>
                      <a:off x="0" y="0"/>
                      <a:ext cx="2372868" cy="1432560"/>
                    </a:xfrm>
                    <a:prstGeom prst="rect">
                      <a:avLst/>
                    </a:prstGeom>
                    <a:noFill/>
                    <a:ln w="9525">
                      <a:noFill/>
                      <a:miter lim="800000"/>
                      <a:headEnd/>
                      <a:tailEnd/>
                    </a:ln>
                  </pic:spPr>
                </pic:pic>
              </a:graphicData>
            </a:graphic>
          </wp:inline>
        </w:drawing>
      </w:r>
    </w:p>
    <w:p w:rsidR="00A94469" w:rsidRPr="00AC6AAF" w:rsidRDefault="00A94469" w:rsidP="00D828E0">
      <w:pPr>
        <w:pStyle w:val="FigureCaption"/>
        <w:ind w:left="288" w:right="288"/>
        <w:rPr>
          <w:color w:val="FF0000"/>
        </w:rPr>
      </w:pPr>
      <w:r>
        <w:t xml:space="preserve">Figure 4: </w:t>
      </w:r>
      <w:r w:rsidR="00003FE5">
        <w:t>T</w:t>
      </w:r>
      <w:r w:rsidR="00CC7889">
        <w:t>he time series of the spatial correlation of annual mean precipitation averaged over the tropics (</w:t>
      </w:r>
      <w:r w:rsidR="00003FE5">
        <w:t xml:space="preserve">15°S-15°N, </w:t>
      </w:r>
      <w:r w:rsidR="00CC7889">
        <w:t xml:space="preserve">left hand figure) </w:t>
      </w:r>
      <w:r w:rsidR="00003FE5">
        <w:t>from several r</w:t>
      </w:r>
      <w:r w:rsidR="00C01314">
        <w:t xml:space="preserve">eanalyses with that from GPCP </w:t>
      </w:r>
      <w:r w:rsidR="00CC7889">
        <w:t>and the average bias over the tropics (right hand figure).</w:t>
      </w:r>
      <w:r w:rsidR="00003FE5">
        <w:t xml:space="preserve"> The comparison of CMAP against GPCP is also shown (black curves). </w:t>
      </w:r>
    </w:p>
    <w:p w:rsidR="00A94469" w:rsidRDefault="00A94469" w:rsidP="00A94469">
      <w:pPr>
        <w:jc w:val="center"/>
      </w:pPr>
      <w:r>
        <w:rPr>
          <w:noProof/>
        </w:rPr>
        <w:drawing>
          <wp:inline distT="0" distB="0" distL="0" distR="0">
            <wp:extent cx="5346700" cy="2633134"/>
            <wp:effectExtent l="25400" t="0" r="0" b="0"/>
            <wp:docPr id="8" name="Picture 7"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14"/>
                    <a:srcRect l="3419" t="17966" r="6624" b="22977"/>
                    <a:stretch>
                      <a:fillRect/>
                    </a:stretch>
                  </pic:blipFill>
                  <pic:spPr>
                    <a:xfrm>
                      <a:off x="0" y="0"/>
                      <a:ext cx="5346700" cy="2633134"/>
                    </a:xfrm>
                    <a:prstGeom prst="rect">
                      <a:avLst/>
                    </a:prstGeom>
                  </pic:spPr>
                </pic:pic>
              </a:graphicData>
            </a:graphic>
          </wp:inline>
        </w:drawing>
      </w:r>
    </w:p>
    <w:p w:rsidR="00E90BB9" w:rsidRDefault="00A94469" w:rsidP="00D828E0">
      <w:pPr>
        <w:pStyle w:val="FigureCaption"/>
      </w:pPr>
      <w:r>
        <w:t>Figure 5</w:t>
      </w:r>
      <w:r w:rsidR="00E90BB9">
        <w:t>a</w:t>
      </w:r>
      <w:r>
        <w:t xml:space="preserve">: </w:t>
      </w:r>
      <w:r w:rsidR="00CC7889">
        <w:t>The p</w:t>
      </w:r>
      <w:r>
        <w:t xml:space="preserve">recipitation bias </w:t>
      </w:r>
      <w:r w:rsidR="00CC7889">
        <w:t>(mm/day) for January in several r</w:t>
      </w:r>
      <w:r>
        <w:t xml:space="preserve">eanalyses </w:t>
      </w:r>
      <w:r w:rsidR="00CC7889">
        <w:t>relative to GPCP, for the period 1990-2002</w:t>
      </w:r>
      <w:r w:rsidR="00D828E0">
        <w:t>.</w:t>
      </w:r>
    </w:p>
    <w:p w:rsidR="00D828E0" w:rsidRDefault="00565C4C" w:rsidP="00E90BB9">
      <w:pPr>
        <w:jc w:val="center"/>
        <w:rPr>
          <w:b/>
        </w:rPr>
      </w:pPr>
      <w:r>
        <w:rPr>
          <w:noProof/>
        </w:rPr>
        <w:drawing>
          <wp:anchor distT="0" distB="0" distL="114300" distR="114300" simplePos="0" relativeHeight="251673600" behindDoc="0" locked="0" layoutInCell="1" allowOverlap="1">
            <wp:simplePos x="0" y="0"/>
            <wp:positionH relativeFrom="column">
              <wp:posOffset>457200</wp:posOffset>
            </wp:positionH>
            <wp:positionV relativeFrom="paragraph">
              <wp:posOffset>1278255</wp:posOffset>
            </wp:positionV>
            <wp:extent cx="653415" cy="990600"/>
            <wp:effectExtent l="25400" t="0" r="6985" b="0"/>
            <wp:wrapNone/>
            <wp:docPr id="48" name="Picture 9" descr="D:\WDir\Papers\MERRA GEB\Taylor figs\201009_morecolors_ANN_reg_taylors_ml_merra2_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Dir\Papers\MERRA GEB\Taylor figs\201009_morecolors_ANN_reg_taylors_ml_merra2_n1.png"/>
                    <pic:cNvPicPr>
                      <a:picLocks noChangeAspect="1" noChangeArrowheads="1"/>
                    </pic:cNvPicPr>
                  </pic:nvPicPr>
                  <pic:blipFill>
                    <a:blip r:embed="rId15" cstate="print"/>
                    <a:srcRect t="8023" r="87575" b="67478"/>
                    <a:stretch>
                      <a:fillRect/>
                    </a:stretch>
                  </pic:blipFill>
                  <pic:spPr bwMode="auto">
                    <a:xfrm>
                      <a:off x="0" y="0"/>
                      <a:ext cx="653415" cy="990600"/>
                    </a:xfrm>
                    <a:prstGeom prst="rect">
                      <a:avLst/>
                    </a:prstGeom>
                    <a:noFill/>
                    <a:ln w="9525">
                      <a:noFill/>
                      <a:miter lim="800000"/>
                      <a:headEnd/>
                      <a:tailEnd/>
                    </a:ln>
                  </pic:spPr>
                </pic:pic>
              </a:graphicData>
            </a:graphic>
          </wp:anchor>
        </w:drawing>
      </w:r>
      <w:r w:rsidR="00E04924" w:rsidRPr="00E04924">
        <w:rPr>
          <w:noProof/>
        </w:rPr>
        <w:pict>
          <v:shape id="_x0000_s1040" type="#_x0000_t202" style="position:absolute;left:0;text-align:left;margin-left:211.35pt;margin-top:10.65pt;width:29.7pt;height:23.65pt;z-index:251671552;mso-position-horizontal:absolute;mso-position-horizontal-relative:text;mso-position-vertical:absolute;mso-position-vertical-relative:text;mso-width-relative:margin;mso-height-relative:margin" filled="f" stroked="f">
            <v:textbox style="mso-next-textbox:#_x0000_s1040">
              <w:txbxContent>
                <w:p w:rsidR="00B41FDF" w:rsidRDefault="00B41FDF" w:rsidP="00E90BB9">
                  <w:pPr>
                    <w:jc w:val="center"/>
                  </w:pPr>
                  <w:r>
                    <w:t>(</w:t>
                  </w:r>
                  <w:proofErr w:type="gramStart"/>
                  <w:r>
                    <w:t>c</w:t>
                  </w:r>
                  <w:proofErr w:type="gramEnd"/>
                  <w:r>
                    <w:t>)</w:t>
                  </w:r>
                </w:p>
              </w:txbxContent>
            </v:textbox>
          </v:shape>
        </w:pict>
      </w:r>
      <w:r w:rsidR="00E04924" w:rsidRPr="00E04924">
        <w:rPr>
          <w:noProof/>
        </w:rPr>
        <w:pict>
          <v:shape id="_x0000_s1038" type="#_x0000_t202" style="position:absolute;left:0;text-align:left;margin-left:80.25pt;margin-top:10.65pt;width:29.7pt;height:23.65pt;z-index:251669504;mso-position-horizontal:absolute;mso-position-horizontal-relative:text;mso-position-vertical:absolute;mso-position-vertical-relative:text;mso-width-relative:margin;mso-height-relative:margin" filled="f" stroked="f">
            <v:textbox style="mso-next-textbox:#_x0000_s1038">
              <w:txbxContent>
                <w:p w:rsidR="00B41FDF" w:rsidRDefault="00B41FDF" w:rsidP="00E90BB9">
                  <w:pPr>
                    <w:jc w:val="center"/>
                  </w:pPr>
                  <w:r>
                    <w:t>(</w:t>
                  </w:r>
                  <w:proofErr w:type="gramStart"/>
                  <w:r>
                    <w:t>a</w:t>
                  </w:r>
                  <w:proofErr w:type="gramEnd"/>
                  <w:r>
                    <w:t>)</w:t>
                  </w:r>
                </w:p>
              </w:txbxContent>
            </v:textbox>
          </v:shape>
        </w:pict>
      </w:r>
      <w:r w:rsidR="00E90BB9">
        <w:rPr>
          <w:noProof/>
        </w:rPr>
        <w:drawing>
          <wp:inline distT="0" distB="0" distL="0" distR="0">
            <wp:extent cx="1640840" cy="1686560"/>
            <wp:effectExtent l="25400" t="0" r="10160" b="0"/>
            <wp:docPr id="36" name="Picture 3" descr="D:\WDir\Papers\MERRA GEB\Taylor figs\201009_morecolors_ANN_reg_taylors_ml_merra2_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Dir\Papers\MERRA GEB\Taylor figs\201009_morecolors_ANN_reg_taylors_ml_merra2_n1.png"/>
                    <pic:cNvPicPr preferRelativeResize="0">
                      <a:picLocks noChangeAspect="1" noChangeArrowheads="1"/>
                    </pic:cNvPicPr>
                  </pic:nvPicPr>
                  <pic:blipFill>
                    <a:blip r:embed="rId16" cstate="print"/>
                    <a:srcRect l="25382" t="1862" r="3745" b="3868"/>
                    <a:stretch>
                      <a:fillRect/>
                    </a:stretch>
                  </pic:blipFill>
                  <pic:spPr bwMode="auto">
                    <a:xfrm>
                      <a:off x="0" y="0"/>
                      <a:ext cx="1640840" cy="1686560"/>
                    </a:xfrm>
                    <a:prstGeom prst="rect">
                      <a:avLst/>
                    </a:prstGeom>
                    <a:noFill/>
                    <a:ln w="9525">
                      <a:noFill/>
                      <a:miter lim="800000"/>
                      <a:headEnd/>
                      <a:tailEnd/>
                    </a:ln>
                  </pic:spPr>
                </pic:pic>
              </a:graphicData>
            </a:graphic>
          </wp:inline>
        </w:drawing>
      </w:r>
      <w:r w:rsidR="00E90BB9">
        <w:rPr>
          <w:noProof/>
        </w:rPr>
        <w:drawing>
          <wp:inline distT="0" distB="0" distL="0" distR="0">
            <wp:extent cx="1640840" cy="1686560"/>
            <wp:effectExtent l="25400" t="0" r="10160" b="0"/>
            <wp:docPr id="37" name="Picture 4" descr="D:\WDir\Papers\MERRA GEB\Taylor figs\201009_morecolors_ANN_reg_taylors_ml_merra2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Dir\Papers\MERRA GEB\Taylor figs\201009_morecolors_ANN_reg_taylors_ml_merra2_n2.png"/>
                    <pic:cNvPicPr preferRelativeResize="0">
                      <a:picLocks noChangeAspect="1" noChangeArrowheads="1"/>
                    </pic:cNvPicPr>
                  </pic:nvPicPr>
                  <pic:blipFill>
                    <a:blip r:embed="rId17" cstate="print"/>
                    <a:srcRect l="25396" t="1864" r="3753" b="3896"/>
                    <a:stretch>
                      <a:fillRect/>
                    </a:stretch>
                  </pic:blipFill>
                  <pic:spPr bwMode="auto">
                    <a:xfrm>
                      <a:off x="0" y="0"/>
                      <a:ext cx="1640840" cy="1686560"/>
                    </a:xfrm>
                    <a:prstGeom prst="rect">
                      <a:avLst/>
                    </a:prstGeom>
                    <a:noFill/>
                    <a:ln w="9525">
                      <a:noFill/>
                      <a:miter lim="800000"/>
                      <a:headEnd/>
                      <a:tailEnd/>
                    </a:ln>
                  </pic:spPr>
                </pic:pic>
              </a:graphicData>
            </a:graphic>
          </wp:inline>
        </w:drawing>
      </w:r>
    </w:p>
    <w:p w:rsidR="00E90BB9" w:rsidRDefault="00E04924" w:rsidP="00E90BB9">
      <w:pPr>
        <w:jc w:val="center"/>
        <w:rPr>
          <w:b/>
        </w:rPr>
      </w:pPr>
      <w:r w:rsidRPr="00E04924">
        <w:rPr>
          <w:noProof/>
        </w:rPr>
        <w:pict>
          <v:shape id="_x0000_s1039" type="#_x0000_t202" style="position:absolute;left:0;text-align:left;margin-left:212pt;margin-top:11.85pt;width:29.7pt;height:23.65pt;z-index:251670528;mso-position-horizontal:absolute;mso-position-horizontal-relative:text;mso-position-vertical:absolute;mso-position-vertical-relative:text;mso-width-relative:margin;mso-height-relative:margin" filled="f" stroked="f">
            <v:textbox style="mso-next-textbox:#_x0000_s1039">
              <w:txbxContent>
                <w:p w:rsidR="00B41FDF" w:rsidRDefault="00B41FDF" w:rsidP="00E90BB9">
                  <w:pPr>
                    <w:jc w:val="center"/>
                  </w:pPr>
                  <w:r>
                    <w:t>(</w:t>
                  </w:r>
                  <w:proofErr w:type="gramStart"/>
                  <w:r>
                    <w:t>d</w:t>
                  </w:r>
                  <w:proofErr w:type="gramEnd"/>
                  <w:r>
                    <w:t>)</w:t>
                  </w:r>
                </w:p>
              </w:txbxContent>
            </v:textbox>
          </v:shape>
        </w:pict>
      </w:r>
      <w:r w:rsidRPr="00E04924">
        <w:rPr>
          <w:noProof/>
        </w:rPr>
        <w:pict>
          <v:shape id="_x0000_s1041" type="#_x0000_t202" style="position:absolute;left:0;text-align:left;margin-left:78.95pt;margin-top:11.95pt;width:29.7pt;height:23.65pt;z-index:251672576;mso-position-horizontal:absolute;mso-position-horizontal-relative:text;mso-position-vertical:absolute;mso-position-vertical-relative:text;mso-width-relative:margin;mso-height-relative:margin" filled="f" stroked="f">
            <v:textbox style="mso-next-textbox:#_x0000_s1041">
              <w:txbxContent>
                <w:p w:rsidR="00B41FDF" w:rsidRDefault="00B41FDF" w:rsidP="00E90BB9">
                  <w:pPr>
                    <w:jc w:val="center"/>
                  </w:pPr>
                  <w:r>
                    <w:t>(</w:t>
                  </w:r>
                  <w:proofErr w:type="gramStart"/>
                  <w:r>
                    <w:t>b</w:t>
                  </w:r>
                  <w:proofErr w:type="gramEnd"/>
                  <w:r>
                    <w:t>)</w:t>
                  </w:r>
                </w:p>
              </w:txbxContent>
            </v:textbox>
          </v:shape>
        </w:pict>
      </w:r>
      <w:r w:rsidR="00E90BB9">
        <w:rPr>
          <w:b/>
          <w:noProof/>
        </w:rPr>
        <w:drawing>
          <wp:inline distT="0" distB="0" distL="0" distR="0">
            <wp:extent cx="1640840" cy="1686560"/>
            <wp:effectExtent l="25400" t="0" r="10160" b="0"/>
            <wp:docPr id="39" name="Picture 7" descr="D:\WDir\Papers\MERRA GEB\Taylor figs\201009_morecolors_ANN_reg_taylors_ml_merra2_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Dir\Papers\MERRA GEB\Taylor figs\201009_morecolors_ANN_reg_taylors_ml_merra2_n7.png"/>
                    <pic:cNvPicPr preferRelativeResize="0">
                      <a:picLocks noChangeAspect="1" noChangeArrowheads="1"/>
                    </pic:cNvPicPr>
                  </pic:nvPicPr>
                  <pic:blipFill>
                    <a:blip r:embed="rId18" cstate="print"/>
                    <a:srcRect l="25396" t="1864" r="3753" b="3896"/>
                    <a:stretch>
                      <a:fillRect/>
                    </a:stretch>
                  </pic:blipFill>
                  <pic:spPr bwMode="auto">
                    <a:xfrm>
                      <a:off x="0" y="0"/>
                      <a:ext cx="1640840" cy="1686560"/>
                    </a:xfrm>
                    <a:prstGeom prst="rect">
                      <a:avLst/>
                    </a:prstGeom>
                    <a:noFill/>
                    <a:ln w="9525">
                      <a:noFill/>
                      <a:miter lim="800000"/>
                      <a:headEnd/>
                      <a:tailEnd/>
                    </a:ln>
                  </pic:spPr>
                </pic:pic>
              </a:graphicData>
            </a:graphic>
          </wp:inline>
        </w:drawing>
      </w:r>
      <w:r w:rsidR="00D828E0" w:rsidRPr="00D828E0">
        <w:rPr>
          <w:b/>
          <w:noProof/>
        </w:rPr>
        <w:drawing>
          <wp:inline distT="0" distB="0" distL="0" distR="0">
            <wp:extent cx="1644396" cy="1706880"/>
            <wp:effectExtent l="25400" t="0" r="6604" b="0"/>
            <wp:docPr id="21" name="Picture 6" descr="D:\WDir\Papers\MERRA GEB\Taylor figs\201009_morecolors_ANN_reg_taylors_ml_merra2_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Dir\Papers\MERRA GEB\Taylor figs\201009_morecolors_ANN_reg_taylors_ml_merra2_n6.png"/>
                    <pic:cNvPicPr preferRelativeResize="0">
                      <a:picLocks noChangeAspect="1" noChangeArrowheads="1"/>
                    </pic:cNvPicPr>
                  </pic:nvPicPr>
                  <pic:blipFill>
                    <a:blip r:embed="rId19" cstate="print"/>
                    <a:srcRect l="25396" t="1864" r="3753" b="3896"/>
                    <a:stretch>
                      <a:fillRect/>
                    </a:stretch>
                  </pic:blipFill>
                  <pic:spPr bwMode="auto">
                    <a:xfrm>
                      <a:off x="0" y="0"/>
                      <a:ext cx="1644396" cy="1706880"/>
                    </a:xfrm>
                    <a:prstGeom prst="rect">
                      <a:avLst/>
                    </a:prstGeom>
                    <a:noFill/>
                    <a:ln w="9525">
                      <a:noFill/>
                      <a:miter lim="800000"/>
                      <a:headEnd/>
                      <a:tailEnd/>
                    </a:ln>
                  </pic:spPr>
                </pic:pic>
              </a:graphicData>
            </a:graphic>
          </wp:inline>
        </w:drawing>
      </w:r>
    </w:p>
    <w:p w:rsidR="00D828E0" w:rsidRDefault="00436047" w:rsidP="00E90BB9">
      <w:pPr>
        <w:pStyle w:val="FigureCaption"/>
      </w:pPr>
      <w:r>
        <w:t>Fi</w:t>
      </w:r>
      <w:r w:rsidR="00E90BB9">
        <w:t>g</w:t>
      </w:r>
      <w:r>
        <w:t>u</w:t>
      </w:r>
      <w:r w:rsidR="00E90BB9">
        <w:t xml:space="preserve">re 5b: </w:t>
      </w:r>
      <w:r w:rsidR="00E90BB9" w:rsidRPr="00520442">
        <w:t xml:space="preserve">Taylor diagrams of annual mean precipitation from reanalyses using GPCP as a reference and CMAP as an additional observing reference. Each panel shows the statistics for different regions: (a) globe, </w:t>
      </w:r>
      <w:r w:rsidR="00C50802">
        <w:t>(b) tropics, (c)</w:t>
      </w:r>
      <w:r w:rsidR="00E90BB9" w:rsidRPr="00520442">
        <w:t xml:space="preserve"> </w:t>
      </w:r>
      <w:r w:rsidR="00C50802">
        <w:t xml:space="preserve">global </w:t>
      </w:r>
      <w:r w:rsidR="00E90BB9" w:rsidRPr="00520442">
        <w:t xml:space="preserve">land, </w:t>
      </w:r>
      <w:r w:rsidR="00C50802">
        <w:t xml:space="preserve">and </w:t>
      </w:r>
      <w:r w:rsidR="00E90BB9" w:rsidRPr="00520442">
        <w:t xml:space="preserve">(c) </w:t>
      </w:r>
      <w:r w:rsidR="00C50802">
        <w:t>global oceans</w:t>
      </w:r>
      <w:r w:rsidR="00E90BB9" w:rsidRPr="00520442">
        <w:t xml:space="preserve">. The red and blue lines show limits of expected high and low correlation as determined by comparing GPCP and CMAP observations. See </w:t>
      </w:r>
      <w:proofErr w:type="spellStart"/>
      <w:r w:rsidR="00E90BB9" w:rsidRPr="00520442">
        <w:t>Bosilovich</w:t>
      </w:r>
      <w:proofErr w:type="spellEnd"/>
      <w:r w:rsidR="00E90BB9" w:rsidRPr="00520442">
        <w:t xml:space="preserve"> et al</w:t>
      </w:r>
      <w:r w:rsidR="001125AC">
        <w:t>.</w:t>
      </w:r>
      <w:r w:rsidR="00E90BB9" w:rsidRPr="00520442">
        <w:t xml:space="preserve"> (2008) for details.</w:t>
      </w:r>
      <w:r w:rsidR="00E90BB9">
        <w:t xml:space="preserve">    </w:t>
      </w:r>
    </w:p>
    <w:p w:rsidR="009E79AE" w:rsidRDefault="009E79AE" w:rsidP="009E79AE"/>
    <w:p w:rsidR="009E79AE" w:rsidRDefault="009E79AE" w:rsidP="009E79AE">
      <w:r>
        <w:t xml:space="preserve">Earlier reanalyses were limited in their ability to support water and energy budget analyses, having large biases in the various physical forcing terms (e.g., precipitation, heating rates). “Forcing” fields could only be estimated as a residual of the terms that involved quantities that were strongly constrained by the analysis (e.g., rotational wind) and less dependent on the model physical parameterizations. </w:t>
      </w:r>
    </w:p>
    <w:p w:rsidR="009E79AE" w:rsidRDefault="009E79AE" w:rsidP="009E79AE">
      <w:r>
        <w:t>In conducting MERRA, emphasis was placed on providing a complete and internally consistent budget including any unphysical terms associated with the analysis increments and other non-physical adjustments (e.g., fi</w:t>
      </w:r>
      <w:r w:rsidR="00E2460F">
        <w:t xml:space="preserve">ltering).  For example, Figure </w:t>
      </w:r>
      <w:r>
        <w:t xml:space="preserve">6 shows the various terms in the vertically integrated moisture budget from MERRA, indicating that while the bias (e.g., in precipitation) has been reduced compared to previous reanalyses, the analysis increments nevertheless still contribute substantially to the budget. </w:t>
      </w:r>
    </w:p>
    <w:p w:rsidR="009E79AE" w:rsidRDefault="00337DE6" w:rsidP="009E79AE">
      <w:pPr>
        <w:spacing w:after="0"/>
        <w:jc w:val="center"/>
      </w:pPr>
      <w:r>
        <w:rPr>
          <w:noProof/>
        </w:rPr>
        <w:drawing>
          <wp:inline distT="0" distB="0" distL="0" distR="0">
            <wp:extent cx="4246880" cy="4274820"/>
            <wp:effectExtent l="25400" t="0" r="0" b="0"/>
            <wp:docPr id="10" name="Picture 8"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referRelativeResize="0"/>
                  </pic:nvPicPr>
                  <pic:blipFill>
                    <a:blip r:embed="rId20"/>
                    <a:srcRect l="28419" t="2281" b="1711"/>
                    <a:stretch>
                      <a:fillRect/>
                    </a:stretch>
                  </pic:blipFill>
                  <pic:spPr>
                    <a:xfrm>
                      <a:off x="0" y="0"/>
                      <a:ext cx="4246880" cy="4274820"/>
                    </a:xfrm>
                    <a:prstGeom prst="rect">
                      <a:avLst/>
                    </a:prstGeom>
                  </pic:spPr>
                </pic:pic>
              </a:graphicData>
            </a:graphic>
          </wp:inline>
        </w:drawing>
      </w:r>
    </w:p>
    <w:p w:rsidR="00B47595" w:rsidRDefault="00E2460F" w:rsidP="00644027">
      <w:pPr>
        <w:pStyle w:val="FigureCaption"/>
        <w:jc w:val="center"/>
      </w:pPr>
      <w:r>
        <w:t xml:space="preserve">Figure </w:t>
      </w:r>
      <w:r w:rsidR="009E79AE">
        <w:t>6: The vertically integrated water vapor budget from MERRA for January 2004.</w:t>
      </w:r>
    </w:p>
    <w:p w:rsidR="0008405F" w:rsidRPr="00D828E0" w:rsidRDefault="0008405F" w:rsidP="0008405F">
      <w:r>
        <w:t xml:space="preserve">Improvements in the representation of clouds remain a challenge affecting the quality of both the water and energy cycles.  For example, cloud-related deficiencies are apparent in the joint frequency distribution of long-wave and </w:t>
      </w:r>
      <w:proofErr w:type="gramStart"/>
      <w:r>
        <w:t>short-wave</w:t>
      </w:r>
      <w:proofErr w:type="gramEnd"/>
      <w:r>
        <w:t xml:space="preserve"> fluxes at the top of the atmosphere shown in Figure 7.  The joint frequency distribution of these fluxes may be viewed as a two-dimensional histogram that provides an</w:t>
      </w:r>
      <w:r w:rsidRPr="009D5BF8">
        <w:t xml:space="preserve"> evaluation of the processes that relate temperature, humidity and cloud</w:t>
      </w:r>
      <w:r>
        <w:t xml:space="preserve"> fields</w:t>
      </w:r>
      <w:r w:rsidRPr="009D5BF8">
        <w:t xml:space="preserve">. The </w:t>
      </w:r>
      <w:r>
        <w:t>latest reanalyses (MERRA and ERA-</w:t>
      </w:r>
      <w:r w:rsidRPr="009D5BF8">
        <w:t>Interim) appear</w:t>
      </w:r>
      <w:r>
        <w:t xml:space="preserve"> to</w:t>
      </w:r>
      <w:r w:rsidRPr="009D5BF8">
        <w:t xml:space="preserve"> ha</w:t>
      </w:r>
      <w:r>
        <w:t>ve patterns closer to observed (CERES)</w:t>
      </w:r>
      <w:r w:rsidRPr="009D5BF8">
        <w:t xml:space="preserve"> than the </w:t>
      </w:r>
      <w:r>
        <w:t>earlier re</w:t>
      </w:r>
      <w:r w:rsidRPr="009D5BF8">
        <w:t>analyses (NCEP</w:t>
      </w:r>
      <w:r>
        <w:t>/DOE R</w:t>
      </w:r>
      <w:r w:rsidRPr="009D5BF8">
        <w:t>2 and JRA-25), demonstrating the advance</w:t>
      </w:r>
      <w:r>
        <w:t>s made in a general sense regarding the representation of the water and energy cycles</w:t>
      </w:r>
      <w:r w:rsidRPr="009D5BF8">
        <w:t>.</w:t>
      </w:r>
    </w:p>
    <w:p w:rsidR="00D828E0" w:rsidRDefault="00D828E0" w:rsidP="00D828E0">
      <w:pPr>
        <w:spacing w:after="0"/>
        <w:jc w:val="center"/>
      </w:pPr>
      <w:r w:rsidRPr="003930F5">
        <w:rPr>
          <w:noProof/>
        </w:rPr>
        <w:drawing>
          <wp:inline distT="0" distB="0" distL="0" distR="0">
            <wp:extent cx="4241588" cy="3543300"/>
            <wp:effectExtent l="25400" t="0" r="212" b="0"/>
            <wp:docPr id="19" name="" descr="h2lwswz"/>
            <wp:cNvGraphicFramePr/>
            <a:graphic xmlns:a="http://schemas.openxmlformats.org/drawingml/2006/main">
              <a:graphicData uri="http://schemas.openxmlformats.org/drawingml/2006/picture">
                <pic:pic xmlns:pic="http://schemas.openxmlformats.org/drawingml/2006/picture">
                  <pic:nvPicPr>
                    <pic:cNvPr id="0" name="Picture 97" descr="h2lwswz"/>
                    <pic:cNvPicPr>
                      <a:picLocks noChangeArrowheads="1"/>
                    </pic:cNvPicPr>
                  </pic:nvPicPr>
                  <pic:blipFill>
                    <a:blip r:embed="rId21"/>
                    <a:srcRect t="11364" r="19637" b="4541"/>
                    <a:stretch>
                      <a:fillRect/>
                    </a:stretch>
                  </pic:blipFill>
                  <pic:spPr bwMode="auto">
                    <a:xfrm>
                      <a:off x="0" y="0"/>
                      <a:ext cx="4241588" cy="3543300"/>
                    </a:xfrm>
                    <a:prstGeom prst="rect">
                      <a:avLst/>
                    </a:prstGeom>
                    <a:noFill/>
                    <a:ln w="9525">
                      <a:noFill/>
                      <a:miter lim="800000"/>
                      <a:headEnd/>
                      <a:tailEnd/>
                    </a:ln>
                  </pic:spPr>
                </pic:pic>
              </a:graphicData>
            </a:graphic>
          </wp:inline>
        </w:drawing>
      </w:r>
    </w:p>
    <w:p w:rsidR="00D828E0" w:rsidRDefault="0008405F" w:rsidP="0008405F">
      <w:pPr>
        <w:pStyle w:val="FigureCaption"/>
      </w:pPr>
      <w:r>
        <w:t>Figure 7</w:t>
      </w:r>
      <w:r w:rsidRPr="003930F5">
        <w:t>: The joint frequency distribution of the top-of-atmosphere long-wave</w:t>
      </w:r>
      <w:r>
        <w:t xml:space="preserve"> (abscissa) and</w:t>
      </w:r>
      <w:r w:rsidRPr="003930F5">
        <w:t xml:space="preserve"> </w:t>
      </w:r>
      <w:proofErr w:type="gramStart"/>
      <w:r w:rsidRPr="003930F5">
        <w:t>short-wave</w:t>
      </w:r>
      <w:proofErr w:type="gramEnd"/>
      <w:r>
        <w:t xml:space="preserve"> (ordinate)</w:t>
      </w:r>
      <w:r w:rsidRPr="003930F5">
        <w:t xml:space="preserve"> fluxes for 2004 </w:t>
      </w:r>
      <w:r>
        <w:t>from MERRA, NCEP/DOE R</w:t>
      </w:r>
      <w:r w:rsidRPr="003930F5">
        <w:t>2, and JRA-25. For comparison, the results are shown from CERES. The solid line conto</w:t>
      </w:r>
      <w:r>
        <w:t>urs from CERES overlay the shaded contours in all panels</w:t>
      </w:r>
      <w:r w:rsidRPr="003930F5">
        <w:t>.</w:t>
      </w:r>
    </w:p>
    <w:p w:rsidR="00E53B5B" w:rsidRPr="00413F92" w:rsidRDefault="00E53B5B" w:rsidP="00E53B5B">
      <w:r>
        <w:t xml:space="preserve">A summary of the annual and global mean energy flow and balances, estimated from recent reanalyses and compared with an observationally based estimate from </w:t>
      </w:r>
      <w:proofErr w:type="spellStart"/>
      <w:r>
        <w:t>Trenberth</w:t>
      </w:r>
      <w:proofErr w:type="spellEnd"/>
      <w:r>
        <w:t xml:space="preserve"> et</w:t>
      </w:r>
      <w:r w:rsidR="00E2460F">
        <w:t xml:space="preserve"> al. (2009) is shown in Figure 8</w:t>
      </w:r>
      <w:r>
        <w:t>.  Here</w:t>
      </w:r>
      <w:r w:rsidR="0008405F">
        <w:t>,</w:t>
      </w:r>
      <w:r>
        <w:t xml:space="preserve"> consistency and improvements appear to be greatest at the top of the atmosphere where the net fluxes from the recent reanalyses are all small, while substantial imbalances occur at the surface.  </w:t>
      </w:r>
    </w:p>
    <w:p w:rsidR="00E53B5B" w:rsidRDefault="00337DE6" w:rsidP="00E53B5B">
      <w:pPr>
        <w:spacing w:after="0"/>
        <w:jc w:val="center"/>
      </w:pPr>
      <w:r>
        <w:rPr>
          <w:noProof/>
        </w:rPr>
        <w:drawing>
          <wp:inline distT="0" distB="0" distL="0" distR="0">
            <wp:extent cx="5107111" cy="3086100"/>
            <wp:effectExtent l="25400" t="0" r="0" b="0"/>
            <wp:docPr id="6" name="Picture 9"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2"/>
                    <a:srcRect t="11451" b="7985"/>
                    <a:stretch>
                      <a:fillRect/>
                    </a:stretch>
                  </pic:blipFill>
                  <pic:spPr>
                    <a:xfrm>
                      <a:off x="0" y="0"/>
                      <a:ext cx="5107111" cy="3086100"/>
                    </a:xfrm>
                    <a:prstGeom prst="rect">
                      <a:avLst/>
                    </a:prstGeom>
                  </pic:spPr>
                </pic:pic>
              </a:graphicData>
            </a:graphic>
          </wp:inline>
        </w:drawing>
      </w:r>
    </w:p>
    <w:p w:rsidR="00E53B5B" w:rsidRDefault="00E2460F" w:rsidP="00E53B5B">
      <w:pPr>
        <w:pStyle w:val="FigureCaption"/>
        <w:rPr>
          <w:color w:val="000000" w:themeColor="text1"/>
        </w:rPr>
      </w:pPr>
      <w:r>
        <w:t>Figure 8</w:t>
      </w:r>
      <w:r w:rsidR="00E53B5B">
        <w:t>: The global energy budget (W m</w:t>
      </w:r>
      <w:r w:rsidR="00E53B5B">
        <w:rPr>
          <w:vertAlign w:val="superscript"/>
        </w:rPr>
        <w:t>-2</w:t>
      </w:r>
      <w:r w:rsidR="00E53B5B">
        <w:t xml:space="preserve">) following </w:t>
      </w:r>
      <w:proofErr w:type="spellStart"/>
      <w:r w:rsidR="00E53B5B">
        <w:t>Trenberth</w:t>
      </w:r>
      <w:proofErr w:type="spellEnd"/>
      <w:r w:rsidR="00E53B5B">
        <w:t xml:space="preserve"> et al. (2009).  The numbers in black are those from </w:t>
      </w:r>
      <w:proofErr w:type="spellStart"/>
      <w:r w:rsidR="00E53B5B">
        <w:t>Trenberth</w:t>
      </w:r>
      <w:proofErr w:type="spellEnd"/>
      <w:r w:rsidR="00E53B5B">
        <w:t xml:space="preserve"> et al.; the numbers in red are from MERRA, ERA-Interim, and </w:t>
      </w:r>
      <w:proofErr w:type="gramStart"/>
      <w:r w:rsidR="00E53B5B">
        <w:t>from a satellite data climatology</w:t>
      </w:r>
      <w:proofErr w:type="gramEnd"/>
      <w:r w:rsidR="00E53B5B">
        <w:t xml:space="preserve"> (</w:t>
      </w:r>
      <w:r w:rsidR="00E53B5B">
        <w:rPr>
          <w:color w:val="FF0000"/>
        </w:rPr>
        <w:t>REFERENCE???</w:t>
      </w:r>
      <w:r w:rsidR="00E53B5B">
        <w:rPr>
          <w:color w:val="000000" w:themeColor="text1"/>
        </w:rPr>
        <w:t>).</w:t>
      </w:r>
    </w:p>
    <w:p w:rsidR="00E53B5B" w:rsidRDefault="00E53B5B" w:rsidP="00E53B5B"/>
    <w:p w:rsidR="00E53B5B" w:rsidRDefault="00E53B5B" w:rsidP="00E53B5B">
      <w:r>
        <w:t xml:space="preserve">The lack of balance at the surface is one of the outstanding problems that continue to limit the use of reanalyses for driving ocean and land models.  The primary causes of imbalances are related to the representation of clouds and also surface boundary layer parameterizations. Such deficiencies hinder efforts to develop coupled data assimilation systems. </w:t>
      </w:r>
    </w:p>
    <w:p w:rsidR="00E53B5B" w:rsidRPr="00565C4C" w:rsidRDefault="00E53B5B" w:rsidP="00565C4C"/>
    <w:p w:rsidR="00C50802" w:rsidRDefault="00C50802" w:rsidP="00565C4C">
      <w:pPr>
        <w:spacing w:after="0"/>
        <w:jc w:val="center"/>
      </w:pPr>
      <w:r>
        <w:rPr>
          <w:noProof/>
        </w:rPr>
        <w:drawing>
          <wp:inline distT="0" distB="0" distL="0" distR="0">
            <wp:extent cx="3722914" cy="2171700"/>
            <wp:effectExtent l="25400" t="0" r="10886" b="0"/>
            <wp:docPr id="22" name="Picture 10"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3"/>
                    <a:srcRect l="14957" t="25665" r="15812" b="20438"/>
                    <a:stretch>
                      <a:fillRect/>
                    </a:stretch>
                  </pic:blipFill>
                  <pic:spPr>
                    <a:xfrm>
                      <a:off x="0" y="0"/>
                      <a:ext cx="3722914" cy="2171700"/>
                    </a:xfrm>
                    <a:prstGeom prst="rect">
                      <a:avLst/>
                    </a:prstGeom>
                  </pic:spPr>
                </pic:pic>
              </a:graphicData>
            </a:graphic>
          </wp:inline>
        </w:drawing>
      </w:r>
    </w:p>
    <w:p w:rsidR="00565C4C" w:rsidRDefault="00565C4C" w:rsidP="00C50802">
      <w:pPr>
        <w:pStyle w:val="FigureCaption"/>
      </w:pPr>
      <w:r>
        <w:t xml:space="preserve">Figure </w:t>
      </w:r>
      <w:r w:rsidR="00E2460F">
        <w:t>9</w:t>
      </w:r>
      <w:r w:rsidR="00C50802">
        <w:t>: The lag correlation of precipitation and SST for winter over the Western Pacific.  The correlation for CFSR is compared with that from observations, NCEP/NCAR R1, and NCEP/DOE R2. Positive lags denote precipitation is leading SST.</w:t>
      </w:r>
    </w:p>
    <w:p w:rsidR="00E90BB9" w:rsidRPr="00D828E0" w:rsidRDefault="00565C4C" w:rsidP="00D828E0">
      <w:r>
        <w:t>Ultimately, studies of water and energy cycle budgets and variability require consistent state estimates of the ocean and land surface. The use of specified SSTs impacts surface flux estimates and limits the consistency of the reanalyses in the surface boundary layer with state es</w:t>
      </w:r>
      <w:r w:rsidR="00CE0715">
        <w:t>timates elsewhere. Only the NCEP</w:t>
      </w:r>
      <w:r>
        <w:t xml:space="preserve"> CSFR, by producing the analysis first guess with their coupled model, allows some degree of interaction between the atmosphere and ocean.  One benefit of that is greater consistency between the SST and precipitation fields (e.g., Figure </w:t>
      </w:r>
      <w:r w:rsidR="00E2460F">
        <w:t>9</w:t>
      </w:r>
      <w:r>
        <w:t xml:space="preserve">).   </w:t>
      </w:r>
    </w:p>
    <w:p w:rsidR="009D7A6B" w:rsidRDefault="00E53B5B" w:rsidP="0067337C">
      <w:pPr>
        <w:pStyle w:val="Heading3"/>
      </w:pPr>
      <w:r>
        <w:t xml:space="preserve">Interannual </w:t>
      </w:r>
      <w:r w:rsidR="0067337C">
        <w:t>Variability</w:t>
      </w:r>
    </w:p>
    <w:p w:rsidR="0067337C" w:rsidRPr="009D7A6B" w:rsidRDefault="009D7A6B" w:rsidP="009D7A6B">
      <w:r>
        <w:t xml:space="preserve">One of the strengths of the most recent reanalyses is in the representation of </w:t>
      </w:r>
      <w:r w:rsidRPr="00511155">
        <w:t>interannual variability</w:t>
      </w:r>
      <w:r>
        <w:t xml:space="preserve">, although the quality is not uniform, depending on both the variable of interest and the location (primarily vertical and latitudinal dependence).  Figure </w:t>
      </w:r>
      <w:r w:rsidR="00E2460F">
        <w:t>10</w:t>
      </w:r>
      <w:r>
        <w:t xml:space="preserve"> shows, for example, a very high degree of agreement between the MERRA and ERA-Interim climate anomalies (differences between two years) of the January </w:t>
      </w:r>
      <w:proofErr w:type="gramStart"/>
      <w:r>
        <w:t xml:space="preserve">300 </w:t>
      </w:r>
      <w:proofErr w:type="spellStart"/>
      <w:r>
        <w:t>hPa</w:t>
      </w:r>
      <w:proofErr w:type="spellEnd"/>
      <w:proofErr w:type="gramEnd"/>
      <w:r>
        <w:t xml:space="preserve"> eddy height field. This agreement is an improvement upon what was already a high level of agreement between ERA-Interim and the older ERA-40.  </w:t>
      </w:r>
    </w:p>
    <w:p w:rsidR="00565C4C" w:rsidRDefault="00565C4C" w:rsidP="00565C4C">
      <w:pPr>
        <w:spacing w:after="0"/>
      </w:pPr>
      <w:r w:rsidRPr="00565C4C">
        <w:rPr>
          <w:noProof/>
        </w:rPr>
        <w:drawing>
          <wp:inline distT="0" distB="0" distL="0" distR="0">
            <wp:extent cx="5867400" cy="3361267"/>
            <wp:effectExtent l="25400" t="0" r="0" b="0"/>
            <wp:docPr id="23" name="Picture 1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4"/>
                    <a:srcRect l="1282" t="17005" b="7689"/>
                    <a:stretch>
                      <a:fillRect/>
                    </a:stretch>
                  </pic:blipFill>
                  <pic:spPr>
                    <a:xfrm>
                      <a:off x="0" y="0"/>
                      <a:ext cx="5867400" cy="3361267"/>
                    </a:xfrm>
                    <a:prstGeom prst="rect">
                      <a:avLst/>
                    </a:prstGeom>
                  </pic:spPr>
                </pic:pic>
              </a:graphicData>
            </a:graphic>
          </wp:inline>
        </w:drawing>
      </w:r>
    </w:p>
    <w:p w:rsidR="00565C4C" w:rsidRDefault="00565C4C" w:rsidP="00565C4C">
      <w:pPr>
        <w:pStyle w:val="FigureCaption"/>
      </w:pPr>
      <w:r>
        <w:t xml:space="preserve">Figure </w:t>
      </w:r>
      <w:r w:rsidR="00E2460F">
        <w:t>10</w:t>
      </w:r>
      <w:r>
        <w:t xml:space="preserve">: The eddy height field at 300 </w:t>
      </w:r>
      <w:proofErr w:type="spellStart"/>
      <w:r>
        <w:t>hPa</w:t>
      </w:r>
      <w:proofErr w:type="spellEnd"/>
      <w:r>
        <w:t xml:space="preserve"> for January 1995 (upper row) and January 1998 (middle row) from MERRA (first column) and ERA-Interim (second column). The differences between MERRA and ERA-Interim are shown in the third column while the fourth column compares MERRA with ERA-40.  The bottom panels show the differences between the two years.</w:t>
      </w:r>
    </w:p>
    <w:p w:rsidR="00292BD0" w:rsidRDefault="0008405F" w:rsidP="00BB7B74">
      <w:r>
        <w:t xml:space="preserve">Figure 11 summarizes the correlations between selected MERRA January-monthly-mean quantities and other established observational estimates or, if the latter are unavailable, between MERRA and ERA-Interim.  </w:t>
      </w:r>
      <w:r w:rsidR="00565C4C">
        <w:t>It is clear that the agreement between MERRA and ERA-Interim for the 300mb eddy height fields is, with the exception of some tropical regions, quite high everywhere (global mean of the local correlations is 0.98), consistent with the results shown in Figu</w:t>
      </w:r>
      <w:r w:rsidR="00BB7B74">
        <w:t xml:space="preserve">re </w:t>
      </w:r>
      <w:r w:rsidR="00E2460F">
        <w:t>10</w:t>
      </w:r>
      <w:r w:rsidR="00565C4C">
        <w:t>.  Wh</w:t>
      </w:r>
      <w:r>
        <w:t>ile there is also generally close</w:t>
      </w:r>
      <w:r w:rsidR="00565C4C">
        <w:t xml:space="preserve"> agreement between the two reanalyses in the 850mb u-wind, it is significantly less than that for the 300mb eddy field. Some of the lowest correlations occur over tropical land and surrounding regions, including much of the tropical Atlantic. The high correlations between MERRA </w:t>
      </w:r>
      <w:r w:rsidR="00292BD0">
        <w:t>total precipitable water (</w:t>
      </w:r>
      <w:r w:rsidR="00565C4C">
        <w:t>TPW</w:t>
      </w:r>
      <w:r w:rsidR="00292BD0">
        <w:t>)</w:t>
      </w:r>
      <w:r w:rsidR="00565C4C">
        <w:t xml:space="preserve"> and the SSM/I estimates over the ocean are not surprising since MERRA assimilated SSM/I radiances.  On the other hand, the lower agreement with ERA-interim in the 850mb specific humidity reflects large uncertainties in the reanalyses regarding the vertical structure of the moisture field.  This, in turn, reflects a lack of strong observational constraints combined with a general sensitivity of the vertical structure of the moisture to the mo</w:t>
      </w:r>
      <w:r w:rsidR="009D7A6B">
        <w:t xml:space="preserve">del’s convection scheme. </w:t>
      </w:r>
    </w:p>
    <w:p w:rsidR="00BB7B74" w:rsidRPr="009D5BF8" w:rsidRDefault="0008405F" w:rsidP="00BB7B74">
      <w:r>
        <w:t xml:space="preserve">The correlations drop further for quantities related to the divergent wind field (e.g., vertical velocity at 500mb) and the hydrological cycle (e.g., precipitation), although though one can find regions where the correlations are quite high, for example, over the tropical Pacific. It should be emphasized, however, that this overall level of agreement is a substantial improvement compared with previous reanalyses (see for example the Taylor plots in Figure 5b). </w:t>
      </w:r>
      <w:r w:rsidR="009D7A6B">
        <w:t xml:space="preserve">  </w:t>
      </w:r>
    </w:p>
    <w:p w:rsidR="00BB7B74" w:rsidRPr="008A34E3" w:rsidRDefault="00BB7B74" w:rsidP="00BB7B74">
      <w:pPr>
        <w:spacing w:after="0"/>
      </w:pPr>
      <w:r>
        <w:rPr>
          <w:noProof/>
        </w:rPr>
        <w:drawing>
          <wp:inline distT="0" distB="0" distL="0" distR="0">
            <wp:extent cx="5943600" cy="3433233"/>
            <wp:effectExtent l="25400" t="0" r="0" b="0"/>
            <wp:docPr id="30" name="Picture 12"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5"/>
                    <a:srcRect t="17966" b="5032"/>
                    <a:stretch>
                      <a:fillRect/>
                    </a:stretch>
                  </pic:blipFill>
                  <pic:spPr>
                    <a:xfrm>
                      <a:off x="0" y="0"/>
                      <a:ext cx="5943600" cy="3433233"/>
                    </a:xfrm>
                    <a:prstGeom prst="rect">
                      <a:avLst/>
                    </a:prstGeom>
                  </pic:spPr>
                </pic:pic>
              </a:graphicData>
            </a:graphic>
          </wp:inline>
        </w:drawing>
      </w:r>
    </w:p>
    <w:p w:rsidR="00BB7B74" w:rsidRDefault="0008405F" w:rsidP="009D7A6B">
      <w:pPr>
        <w:pStyle w:val="FigureCaption"/>
        <w:ind w:left="288" w:right="288"/>
      </w:pPr>
      <w:r>
        <w:t xml:space="preserve">Figure 11: Correlations between MERRA and other field estimates for selected January-monthly-mean quantities. The comparisons with ERA-Interim (300 </w:t>
      </w:r>
      <w:proofErr w:type="spellStart"/>
      <w:r>
        <w:t>hPa</w:t>
      </w:r>
      <w:proofErr w:type="spellEnd"/>
      <w:r>
        <w:t xml:space="preserve"> eddy height, vertical velocity at 500 </w:t>
      </w:r>
      <w:proofErr w:type="spellStart"/>
      <w:r>
        <w:t>hPa</w:t>
      </w:r>
      <w:proofErr w:type="spellEnd"/>
      <w:r>
        <w:t xml:space="preserve">, u-wind at 850 </w:t>
      </w:r>
      <w:proofErr w:type="spellStart"/>
      <w:r>
        <w:t>hPa</w:t>
      </w:r>
      <w:proofErr w:type="spellEnd"/>
      <w:r>
        <w:t xml:space="preserve"> and specific humidity at 850 </w:t>
      </w:r>
      <w:proofErr w:type="spellStart"/>
      <w:r>
        <w:t>hPa</w:t>
      </w:r>
      <w:proofErr w:type="spellEnd"/>
      <w:r>
        <w:t>) are for 1990-2008. The comparison with SSM/I (TPW) is for 1993-2002, and the comparison with GPCPv2.1 (p</w:t>
      </w:r>
      <w:r w:rsidR="00D52963">
        <w:t>recipitation) is for 1979-2008.</w:t>
      </w:r>
    </w:p>
    <w:p w:rsidR="00D52963" w:rsidRDefault="00D52963" w:rsidP="00D52963"/>
    <w:p w:rsidR="00D52963" w:rsidRDefault="00D52963" w:rsidP="00D52963">
      <w:r>
        <w:t>Figure 12 summarizes results in terms of the zonal mean values of the correlation (R</w:t>
      </w:r>
      <w:r w:rsidRPr="00BE5393">
        <w:rPr>
          <w:vertAlign w:val="superscript"/>
        </w:rPr>
        <w:t>2</w:t>
      </w:r>
      <w:r>
        <w:t>) between MERRA and ERA-Interim, and between MERRA and selected observation data sets, for various quantities during January and July. The higher correlations for precipitation (and OLR) between MERRA and ERA-Interim, compared with the correlations between MERRA and GPCP, emphasize the fact that the reanalyses are still more like each other than they are like the observational estimates.</w:t>
      </w:r>
    </w:p>
    <w:p w:rsidR="00BB7B74" w:rsidRDefault="00BB7B74" w:rsidP="00292BD0">
      <w:pPr>
        <w:spacing w:after="0"/>
      </w:pPr>
      <w:r>
        <w:rPr>
          <w:noProof/>
        </w:rPr>
        <w:drawing>
          <wp:inline distT="0" distB="0" distL="0" distR="0">
            <wp:extent cx="5943600" cy="2628900"/>
            <wp:effectExtent l="25400" t="0" r="0" b="0"/>
            <wp:docPr id="32" name="Picture 27"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6"/>
                    <a:srcRect t="25665" b="15304"/>
                    <a:stretch>
                      <a:fillRect/>
                    </a:stretch>
                  </pic:blipFill>
                  <pic:spPr>
                    <a:xfrm>
                      <a:off x="0" y="0"/>
                      <a:ext cx="5943600" cy="2628900"/>
                    </a:xfrm>
                    <a:prstGeom prst="rect">
                      <a:avLst/>
                    </a:prstGeom>
                  </pic:spPr>
                </pic:pic>
              </a:graphicData>
            </a:graphic>
          </wp:inline>
        </w:drawing>
      </w:r>
    </w:p>
    <w:p w:rsidR="00D52963" w:rsidRDefault="00D52963" w:rsidP="00D52963">
      <w:pPr>
        <w:pStyle w:val="FigureCaption"/>
      </w:pPr>
      <w:r>
        <w:t>Figure 12: Z</w:t>
      </w:r>
      <w:r w:rsidRPr="00A44E4A">
        <w:t>onal mean</w:t>
      </w:r>
      <w:r>
        <w:t xml:space="preserve"> values of the correlation (R</w:t>
      </w:r>
      <w:r w:rsidRPr="00BE5393">
        <w:rPr>
          <w:vertAlign w:val="superscript"/>
        </w:rPr>
        <w:t>2</w:t>
      </w:r>
      <w:r>
        <w:t>) between MERRA and ERA-Interim, and between MERRA and selected observation data sets, for various quantities during January and July.  The comparison with the NOAA observed OLR product is for the period1990 to 2008.</w:t>
      </w:r>
    </w:p>
    <w:p w:rsidR="00BB7B74" w:rsidRPr="00A447DD" w:rsidRDefault="00BB7B74" w:rsidP="00A447DD"/>
    <w:p w:rsidR="00731660" w:rsidRDefault="00FB1D5A" w:rsidP="00A6676C">
      <w:r>
        <w:rPr>
          <w:noProof/>
        </w:rPr>
        <w:drawing>
          <wp:inline distT="0" distB="0" distL="0" distR="0">
            <wp:extent cx="5943600" cy="3175000"/>
            <wp:effectExtent l="25400" t="0" r="0" b="0"/>
            <wp:docPr id="5" name="Picture 4"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7"/>
                    <a:srcRect t="3232" b="25475"/>
                    <a:stretch>
                      <a:fillRect/>
                    </a:stretch>
                  </pic:blipFill>
                  <pic:spPr>
                    <a:xfrm>
                      <a:off x="0" y="0"/>
                      <a:ext cx="5943600" cy="3175000"/>
                    </a:xfrm>
                    <a:prstGeom prst="rect">
                      <a:avLst/>
                    </a:prstGeom>
                  </pic:spPr>
                </pic:pic>
              </a:graphicData>
            </a:graphic>
          </wp:inline>
        </w:drawing>
      </w:r>
    </w:p>
    <w:p w:rsidR="00814748" w:rsidRDefault="00A447DD" w:rsidP="0019496D">
      <w:pPr>
        <w:pStyle w:val="FigureCaption"/>
      </w:pPr>
      <w:r>
        <w:t>Figure 1</w:t>
      </w:r>
      <w:r w:rsidR="00E2460F">
        <w:t>3</w:t>
      </w:r>
      <w:r w:rsidR="00731660">
        <w:t xml:space="preserve">: </w:t>
      </w:r>
      <w:r w:rsidR="00164FA0">
        <w:t>W</w:t>
      </w:r>
      <w:r w:rsidR="00731660" w:rsidRPr="00731660">
        <w:t xml:space="preserve">avenumber-frequency diagram </w:t>
      </w:r>
      <w:r w:rsidR="00731660">
        <w:t>for precipitation</w:t>
      </w:r>
      <w:r w:rsidR="00164FA0">
        <w:t xml:space="preserve">, following Wheeler and </w:t>
      </w:r>
      <w:proofErr w:type="spellStart"/>
      <w:r w:rsidR="00164FA0" w:rsidRPr="00731660">
        <w:t>Kiladis</w:t>
      </w:r>
      <w:proofErr w:type="spellEnd"/>
      <w:r w:rsidR="00164FA0" w:rsidRPr="00731660">
        <w:t xml:space="preserve"> </w:t>
      </w:r>
      <w:r w:rsidR="00164FA0">
        <w:t>(</w:t>
      </w:r>
      <w:r w:rsidR="00164FA0" w:rsidRPr="00731660">
        <w:t>1999</w:t>
      </w:r>
      <w:r w:rsidR="00164FA0">
        <w:t>)</w:t>
      </w:r>
      <w:r w:rsidR="00731660">
        <w:t>.</w:t>
      </w:r>
      <w:r w:rsidR="00164FA0">
        <w:t xml:space="preserve"> ER is equatorial Rossby wave; EIG is eastward </w:t>
      </w:r>
      <w:proofErr w:type="spellStart"/>
      <w:r w:rsidR="00164FA0">
        <w:t>inertio</w:t>
      </w:r>
      <w:proofErr w:type="spellEnd"/>
      <w:r w:rsidR="00164FA0">
        <w:t>-gravity wave, MRG is mixed Rossby-gravity wave.</w:t>
      </w:r>
      <w:r w:rsidR="0019496D">
        <w:t xml:space="preserve"> </w:t>
      </w:r>
      <w:r w:rsidR="0019496D" w:rsidRPr="0019496D">
        <w:t>Th</w:t>
      </w:r>
      <w:r w:rsidR="0019496D">
        <w:t>e calculations</w:t>
      </w:r>
      <w:r w:rsidR="0019496D" w:rsidRPr="0019496D">
        <w:t xml:space="preserve"> are based on daily precipitation for 1989-2008 averaged between 15</w:t>
      </w:r>
      <w:r w:rsidR="0019496D">
        <w:t>°</w:t>
      </w:r>
      <w:r w:rsidR="0019496D" w:rsidRPr="0019496D">
        <w:t>S and 15</w:t>
      </w:r>
      <w:r w:rsidR="0019496D">
        <w:t>°</w:t>
      </w:r>
      <w:r w:rsidR="0019496D" w:rsidRPr="0019496D">
        <w:t>N.</w:t>
      </w:r>
      <w:r w:rsidR="00A748B8">
        <w:t xml:space="preserve"> For each product, the left-hand panel is the symmetric component and the right-hand panel is the anti-symmetric component.</w:t>
      </w:r>
    </w:p>
    <w:p w:rsidR="00A447DD" w:rsidRPr="003055F7" w:rsidRDefault="00E53B5B" w:rsidP="00A447DD">
      <w:pPr>
        <w:pStyle w:val="Heading3"/>
      </w:pPr>
      <w:r>
        <w:t>Sub-seasonal</w:t>
      </w:r>
      <w:r w:rsidR="00A447DD">
        <w:t xml:space="preserve"> </w:t>
      </w:r>
      <w:r>
        <w:t>Variability and the Diurnal Cycle</w:t>
      </w:r>
    </w:p>
    <w:p w:rsidR="00D52963" w:rsidRDefault="00D52963" w:rsidP="00D52963">
      <w:r>
        <w:t>There have</w:t>
      </w:r>
      <w:r w:rsidRPr="0071339F">
        <w:t xml:space="preserve"> been </w:t>
      </w:r>
      <w:r>
        <w:t xml:space="preserve">significant </w:t>
      </w:r>
      <w:r w:rsidRPr="0071339F">
        <w:t>improvements in the representation of intra-seasonal tropical variability, particularly in the representation of the MJO and other convectively</w:t>
      </w:r>
      <w:r>
        <w:t xml:space="preserve"> coupled equatorial waves.  For example, Figure 13</w:t>
      </w:r>
      <w:r w:rsidRPr="0071339F">
        <w:t xml:space="preserve"> </w:t>
      </w:r>
      <w:r>
        <w:t xml:space="preserve">shows </w:t>
      </w:r>
      <w:r w:rsidRPr="0071339F">
        <w:t>wavenumber</w:t>
      </w:r>
      <w:r>
        <w:t>-</w:t>
      </w:r>
      <w:r w:rsidRPr="0071339F">
        <w:t>frequency diagram</w:t>
      </w:r>
      <w:r>
        <w:t>s</w:t>
      </w:r>
      <w:r w:rsidRPr="0071339F">
        <w:t xml:space="preserve"> </w:t>
      </w:r>
      <w:r>
        <w:t xml:space="preserve">(Wheeler and </w:t>
      </w:r>
      <w:proofErr w:type="spellStart"/>
      <w:r>
        <w:t>Kiladis</w:t>
      </w:r>
      <w:proofErr w:type="spellEnd"/>
      <w:r>
        <w:t xml:space="preserve"> </w:t>
      </w:r>
      <w:r w:rsidRPr="0071339F">
        <w:t>1999) for precipitation</w:t>
      </w:r>
      <w:r>
        <w:t xml:space="preserve"> </w:t>
      </w:r>
      <w:r w:rsidRPr="0071339F">
        <w:t xml:space="preserve">based </w:t>
      </w:r>
      <w:r>
        <w:t xml:space="preserve">on </w:t>
      </w:r>
      <w:r w:rsidRPr="0071339F">
        <w:t>GPCP observations and several reanalyses</w:t>
      </w:r>
      <w:r>
        <w:t xml:space="preserve">.  When compared against GPCP, </w:t>
      </w:r>
      <w:r w:rsidRPr="0071339F">
        <w:t>th</w:t>
      </w:r>
      <w:r>
        <w:t xml:space="preserve">e most recent reanalyses (MERRA, </w:t>
      </w:r>
      <w:r w:rsidRPr="0071339F">
        <w:t>ERA-Interim</w:t>
      </w:r>
      <w:r>
        <w:t xml:space="preserve"> and CSFR</w:t>
      </w:r>
      <w:r w:rsidRPr="0071339F">
        <w:t xml:space="preserve">) show clear improvements </w:t>
      </w:r>
      <w:r>
        <w:t xml:space="preserve">over the earlier NCEP/NCAR R1 reanalysis </w:t>
      </w:r>
      <w:r w:rsidRPr="0071339F">
        <w:t xml:space="preserve">in </w:t>
      </w:r>
      <w:r>
        <w:t xml:space="preserve">terms of </w:t>
      </w:r>
      <w:r w:rsidRPr="0071339F">
        <w:t>the power associated with the MJO and the lower frequenc</w:t>
      </w:r>
      <w:r>
        <w:t>y Kelvin waves.</w:t>
      </w:r>
    </w:p>
    <w:p w:rsidR="00D52963" w:rsidRDefault="00D52963" w:rsidP="00D52963">
      <w:r>
        <w:t xml:space="preserve">Reanalyses have traditionally provided good representations of synoptic-scale </w:t>
      </w:r>
      <w:proofErr w:type="spellStart"/>
      <w:r>
        <w:t>midlatitude</w:t>
      </w:r>
      <w:proofErr w:type="spellEnd"/>
      <w:r>
        <w:t xml:space="preserve"> weather systems (e.g., CCSP report). The recent reanalyses have considerably higher resolution than previous reanalyses and are beginning to provide useful information about the occurrence of tropical storms. For example, Figure 14 shows that tropical storm detection rates in CFSR are quite high for all but the eastern Pacific.  In addition to enhanced resolution, this result likely also reflects the application of a tropical storm </w:t>
      </w:r>
      <w:r w:rsidRPr="002F3F5A">
        <w:t xml:space="preserve">relocation </w:t>
      </w:r>
      <w:r>
        <w:t>procedure</w:t>
      </w:r>
      <w:r w:rsidRPr="002F3F5A">
        <w:t xml:space="preserve"> </w:t>
      </w:r>
      <w:r>
        <w:t xml:space="preserve">prior to performing the analysis. On the other hand, the most intense storms (for example, category 4 and 5 hurricanes) are still not well represented (see, e.g., Figure 15).  </w:t>
      </w:r>
    </w:p>
    <w:p w:rsidR="00A447DD" w:rsidRDefault="00A447DD" w:rsidP="00A447DD"/>
    <w:p w:rsidR="00A447DD" w:rsidRDefault="00A447DD" w:rsidP="00EF3496">
      <w:pPr>
        <w:spacing w:after="0"/>
        <w:jc w:val="center"/>
      </w:pPr>
      <w:r>
        <w:rPr>
          <w:noProof/>
        </w:rPr>
        <w:drawing>
          <wp:inline distT="0" distB="0" distL="0" distR="0">
            <wp:extent cx="3583094" cy="2397760"/>
            <wp:effectExtent l="25400" t="0" r="0" b="0"/>
            <wp:docPr id="44" name="Picture 5"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referRelativeResize="0"/>
                  </pic:nvPicPr>
                  <pic:blipFill>
                    <a:blip r:embed="rId28"/>
                    <a:srcRect l="7834" t="16920" r="16809" b="15780"/>
                    <a:stretch>
                      <a:fillRect/>
                    </a:stretch>
                  </pic:blipFill>
                  <pic:spPr>
                    <a:xfrm>
                      <a:off x="0" y="0"/>
                      <a:ext cx="3583094" cy="2397760"/>
                    </a:xfrm>
                    <a:prstGeom prst="rect">
                      <a:avLst/>
                    </a:prstGeom>
                  </pic:spPr>
                </pic:pic>
              </a:graphicData>
            </a:graphic>
          </wp:inline>
        </w:drawing>
      </w:r>
      <w:r w:rsidR="00EF3496" w:rsidRPr="00EF3496">
        <w:rPr>
          <w:noProof/>
        </w:rPr>
        <w:drawing>
          <wp:inline distT="0" distB="0" distL="0" distR="0">
            <wp:extent cx="745067" cy="1714500"/>
            <wp:effectExtent l="25400" t="0" r="0" b="0"/>
            <wp:docPr id="28" name="Picture 5"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8"/>
                    <a:srcRect l="83190" t="19002" r="4274" b="42669"/>
                    <a:stretch>
                      <a:fillRect/>
                    </a:stretch>
                  </pic:blipFill>
                  <pic:spPr>
                    <a:xfrm>
                      <a:off x="0" y="0"/>
                      <a:ext cx="745067" cy="1714500"/>
                    </a:xfrm>
                    <a:prstGeom prst="rect">
                      <a:avLst/>
                    </a:prstGeom>
                  </pic:spPr>
                </pic:pic>
              </a:graphicData>
            </a:graphic>
          </wp:inline>
        </w:drawing>
      </w:r>
    </w:p>
    <w:p w:rsidR="00A447DD" w:rsidRDefault="00CE0715" w:rsidP="00A447DD">
      <w:pPr>
        <w:pStyle w:val="FigureCaption"/>
        <w:jc w:val="center"/>
      </w:pPr>
      <w:r>
        <w:t>Figure 1</w:t>
      </w:r>
      <w:r w:rsidR="00E2460F">
        <w:t>4</w:t>
      </w:r>
      <w:r w:rsidR="00FE7288">
        <w:t>: Tropical cycl</w:t>
      </w:r>
      <w:r w:rsidR="00A447DD">
        <w:t>one detection rate from CFSR.</w:t>
      </w:r>
    </w:p>
    <w:p w:rsidR="00A447DD" w:rsidRDefault="00FE7288" w:rsidP="007119B4">
      <w:pPr>
        <w:jc w:val="left"/>
      </w:pPr>
      <w:r>
        <w:rPr>
          <w:noProof/>
        </w:rPr>
        <w:drawing>
          <wp:anchor distT="0" distB="0" distL="118745" distR="118745" simplePos="0" relativeHeight="251684864" behindDoc="0" locked="0" layoutInCell="1" allowOverlap="1">
            <wp:simplePos x="0" y="0"/>
            <wp:positionH relativeFrom="column">
              <wp:posOffset>4157133</wp:posOffset>
            </wp:positionH>
            <wp:positionV relativeFrom="paragraph">
              <wp:posOffset>1270</wp:posOffset>
            </wp:positionV>
            <wp:extent cx="1329267" cy="2048933"/>
            <wp:effectExtent l="25400" t="0" r="0" b="0"/>
            <wp:wrapNone/>
            <wp:docPr id="29" name=""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29"/>
                    <a:srcRect l="77635" t="17468" b="36452"/>
                    <a:stretch>
                      <a:fillRect/>
                    </a:stretch>
                  </pic:blipFill>
                  <pic:spPr>
                    <a:xfrm>
                      <a:off x="0" y="0"/>
                      <a:ext cx="1329267" cy="2048933"/>
                    </a:xfrm>
                    <a:prstGeom prst="rect">
                      <a:avLst/>
                    </a:prstGeom>
                  </pic:spPr>
                </pic:pic>
              </a:graphicData>
            </a:graphic>
          </wp:anchor>
        </w:drawing>
      </w:r>
      <w:r w:rsidR="007119B4">
        <w:t xml:space="preserve">                             </w:t>
      </w:r>
      <w:r w:rsidRPr="00FE7288">
        <w:rPr>
          <w:noProof/>
        </w:rPr>
        <w:drawing>
          <wp:inline distT="0" distB="0" distL="0" distR="0">
            <wp:extent cx="3095414" cy="2702560"/>
            <wp:effectExtent l="25400" t="0" r="3386" b="0"/>
            <wp:docPr id="33" name=""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referRelativeResize="0"/>
                  </pic:nvPicPr>
                  <pic:blipFill>
                    <a:blip r:embed="rId29"/>
                    <a:srcRect l="13533" t="16540" r="21367" b="7695"/>
                    <a:stretch>
                      <a:fillRect/>
                    </a:stretch>
                  </pic:blipFill>
                  <pic:spPr>
                    <a:xfrm>
                      <a:off x="0" y="0"/>
                      <a:ext cx="3095414" cy="2702560"/>
                    </a:xfrm>
                    <a:prstGeom prst="rect">
                      <a:avLst/>
                    </a:prstGeom>
                  </pic:spPr>
                </pic:pic>
              </a:graphicData>
            </a:graphic>
          </wp:inline>
        </w:drawing>
      </w:r>
    </w:p>
    <w:p w:rsidR="00A447DD" w:rsidRDefault="00CE0715" w:rsidP="00CC4189">
      <w:pPr>
        <w:pStyle w:val="FigureCaption"/>
      </w:pPr>
      <w:r>
        <w:t>Figure 1</w:t>
      </w:r>
      <w:r w:rsidR="00E2460F">
        <w:t>5</w:t>
      </w:r>
      <w:r w:rsidR="00A447DD">
        <w:t>: Maximum intensity of tropical storms detected in MERRA over the period 1998-2005, compared with observations from 1997 to 2008.</w:t>
      </w:r>
    </w:p>
    <w:p w:rsidR="00E53B5B" w:rsidRDefault="00337DE6" w:rsidP="00E53B5B">
      <w:pPr>
        <w:jc w:val="center"/>
      </w:pPr>
      <w:r>
        <w:rPr>
          <w:noProof/>
        </w:rPr>
        <w:drawing>
          <wp:inline distT="0" distB="0" distL="0" distR="0">
            <wp:extent cx="6000750" cy="6489771"/>
            <wp:effectExtent l="25400" t="0" r="0" b="0"/>
            <wp:docPr id="9" name="P 1" descr="diurnal_comparison.fin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urnal_comparison.final.gif"/>
                    <pic:cNvPicPr>
                      <a:picLocks noChangeAspect="1"/>
                    </pic:cNvPicPr>
                  </pic:nvPicPr>
                  <pic:blipFill>
                    <a:blip r:embed="rId30"/>
                    <a:srcRect t="9444" b="9444"/>
                    <a:stretch>
                      <a:fillRect/>
                    </a:stretch>
                  </pic:blipFill>
                  <pic:spPr>
                    <a:xfrm>
                      <a:off x="0" y="0"/>
                      <a:ext cx="6000750" cy="6489771"/>
                    </a:xfrm>
                    <a:prstGeom prst="rect">
                      <a:avLst/>
                    </a:prstGeom>
                  </pic:spPr>
                </pic:pic>
              </a:graphicData>
            </a:graphic>
          </wp:inline>
        </w:drawing>
      </w:r>
    </w:p>
    <w:p w:rsidR="00E53B5B" w:rsidRDefault="00E2460F" w:rsidP="00E53B5B">
      <w:pPr>
        <w:pStyle w:val="FigureCaption"/>
        <w:jc w:val="left"/>
        <w:rPr>
          <w:color w:val="000000" w:themeColor="text1"/>
        </w:rPr>
      </w:pPr>
      <w:r>
        <w:t>Figure 16</w:t>
      </w:r>
      <w:r w:rsidR="00E53B5B" w:rsidRPr="00731660">
        <w:t xml:space="preserve">: </w:t>
      </w:r>
      <w:r w:rsidR="00E53B5B" w:rsidRPr="00494090">
        <w:rPr>
          <w:color w:val="000000" w:themeColor="text1"/>
        </w:rPr>
        <w:t xml:space="preserve">Diurnal variation in precipitation </w:t>
      </w:r>
      <w:r w:rsidR="00E53B5B">
        <w:rPr>
          <w:color w:val="000000" w:themeColor="text1"/>
        </w:rPr>
        <w:t xml:space="preserve">(mm/day) </w:t>
      </w:r>
      <w:r w:rsidR="00E53B5B" w:rsidRPr="00494090">
        <w:rPr>
          <w:color w:val="000000" w:themeColor="text1"/>
        </w:rPr>
        <w:t>over the United States</w:t>
      </w:r>
      <w:r w:rsidR="00E53B5B">
        <w:rPr>
          <w:color w:val="000000" w:themeColor="text1"/>
        </w:rPr>
        <w:t xml:space="preserve"> for July 2004.  The July mean ha</w:t>
      </w:r>
      <w:r w:rsidR="00E53B5B" w:rsidRPr="00494090">
        <w:rPr>
          <w:color w:val="000000" w:themeColor="text1"/>
        </w:rPr>
        <w:t xml:space="preserve">s </w:t>
      </w:r>
      <w:r w:rsidR="00E53B5B">
        <w:rPr>
          <w:color w:val="000000" w:themeColor="text1"/>
        </w:rPr>
        <w:t xml:space="preserve">been </w:t>
      </w:r>
      <w:r w:rsidR="00E53B5B" w:rsidRPr="00494090">
        <w:rPr>
          <w:color w:val="000000" w:themeColor="text1"/>
        </w:rPr>
        <w:t xml:space="preserve">removed.  Results are shown as 6-hour averages for </w:t>
      </w:r>
      <w:r w:rsidR="00E53B5B">
        <w:rPr>
          <w:color w:val="000000" w:themeColor="text1"/>
        </w:rPr>
        <w:t xml:space="preserve">TRMM observations, and for the reanalyses: </w:t>
      </w:r>
      <w:r w:rsidR="00E53B5B" w:rsidRPr="00494090">
        <w:rPr>
          <w:color w:val="000000" w:themeColor="text1"/>
        </w:rPr>
        <w:t xml:space="preserve">MERRA, </w:t>
      </w:r>
      <w:r w:rsidR="00E53B5B">
        <w:rPr>
          <w:color w:val="000000" w:themeColor="text1"/>
        </w:rPr>
        <w:t xml:space="preserve">ERA-Interim, </w:t>
      </w:r>
      <w:r w:rsidR="00E53B5B" w:rsidRPr="00494090">
        <w:rPr>
          <w:color w:val="000000" w:themeColor="text1"/>
        </w:rPr>
        <w:t>NCEP CFSR</w:t>
      </w:r>
      <w:r w:rsidR="00E53B5B">
        <w:rPr>
          <w:color w:val="000000" w:themeColor="text1"/>
        </w:rPr>
        <w:t xml:space="preserve">, </w:t>
      </w:r>
      <w:r w:rsidR="00E53B5B" w:rsidRPr="00494090">
        <w:rPr>
          <w:color w:val="000000" w:themeColor="text1"/>
        </w:rPr>
        <w:t>JRA</w:t>
      </w:r>
      <w:r w:rsidR="00E53B5B">
        <w:rPr>
          <w:color w:val="000000" w:themeColor="text1"/>
        </w:rPr>
        <w:t>-25, NCEP/DOE R2</w:t>
      </w:r>
      <w:r w:rsidR="00E53B5B" w:rsidRPr="00494090">
        <w:rPr>
          <w:color w:val="000000" w:themeColor="text1"/>
        </w:rPr>
        <w:t xml:space="preserve">, </w:t>
      </w:r>
      <w:r w:rsidR="00E53B5B">
        <w:rPr>
          <w:color w:val="000000" w:themeColor="text1"/>
        </w:rPr>
        <w:t>and NCEP/NCAR R1</w:t>
      </w:r>
      <w:r w:rsidR="00E53B5B" w:rsidRPr="00494090">
        <w:rPr>
          <w:color w:val="000000" w:themeColor="text1"/>
        </w:rPr>
        <w:t xml:space="preserve">. </w:t>
      </w:r>
    </w:p>
    <w:p w:rsidR="00E53B5B" w:rsidRPr="00A447DD" w:rsidRDefault="00D52963" w:rsidP="00A447DD">
      <w:r>
        <w:t xml:space="preserve">While there has been significant improvement in the representation of variability on time scales shorter than one season, there has been little or no improvement in the representation of the diurnal cycle.  For example, while the global distribution of the amplitude of the diurnal cycle in precipitation is generally reasonable, all reanalyses suffer from incorrect phasing, especially during the warm season over land areas where local phenomena such as low level jets and mesoscale convective systems together with complicated/high terrain can play an important role in determining the timing of rainfall </w:t>
      </w:r>
      <w:r>
        <w:rPr>
          <w:color w:val="000000" w:themeColor="text1"/>
        </w:rPr>
        <w:t>(Figure 16</w:t>
      </w:r>
      <w:r w:rsidRPr="00FB1D5A">
        <w:rPr>
          <w:color w:val="000000" w:themeColor="text1"/>
        </w:rPr>
        <w:t>).</w:t>
      </w:r>
      <w:r w:rsidRPr="00731660">
        <w:rPr>
          <w:color w:val="FF0000"/>
        </w:rPr>
        <w:t xml:space="preserve"> </w:t>
      </w:r>
      <w:r>
        <w:t xml:space="preserve">Deficiencies in the diurnal cycle (e.g., the timing of precipitation and clouds) have important impacts on the quality of land hydrology, contributing to unrealistic soil moisture and evaporative fluxes. </w:t>
      </w:r>
      <w:r w:rsidR="00CC4189">
        <w:t xml:space="preserve"> </w:t>
      </w:r>
    </w:p>
    <w:p w:rsidR="00A447DD" w:rsidRDefault="00A447DD" w:rsidP="00A447DD">
      <w:pPr>
        <w:pStyle w:val="Heading3"/>
      </w:pPr>
      <w:r>
        <w:t>The Stratosphere</w:t>
      </w:r>
    </w:p>
    <w:p w:rsidR="00D52963" w:rsidRDefault="00D52963" w:rsidP="00D52963">
      <w:r>
        <w:t xml:space="preserve">The dominant components of the climate and variability of the Arctic lower stratosphere were represented quite well in early analyses produced with low model tops (e.g., </w:t>
      </w:r>
      <w:proofErr w:type="spellStart"/>
      <w:r>
        <w:t>Pawson</w:t>
      </w:r>
      <w:proofErr w:type="spellEnd"/>
      <w:r>
        <w:t xml:space="preserve"> and </w:t>
      </w:r>
      <w:proofErr w:type="spellStart"/>
      <w:r>
        <w:t>Fiorino</w:t>
      </w:r>
      <w:proofErr w:type="spellEnd"/>
      <w:r>
        <w:t xml:space="preserve">, 1998a) since the large-scale structure in this region is sampled by radiosondes.  Even in the Antarctic, temperature retrievals from space-based data were adequate to constrain the polar vortex structure, but early analyses do not capture low temperatures characteristic of the </w:t>
      </w:r>
      <w:proofErr w:type="gramStart"/>
      <w:r>
        <w:t>polar regions</w:t>
      </w:r>
      <w:proofErr w:type="gramEnd"/>
      <w:r>
        <w:t xml:space="preserve">. Increasing the height of the upper boundary led to substantial improvements in the analyzed structure of the middle stratosphere in ERA-40/Interim and GEOS-5 compared to the earlier products. These model improvements coupled with improved use of space-based radiance observations have led to consistent and accurate analyses of the middle and polar latitudes in both hemispheres, up to altitudes of 30-40km. </w:t>
      </w:r>
    </w:p>
    <w:p w:rsidR="00D52963" w:rsidRDefault="00D52963" w:rsidP="00D52963">
      <w:r>
        <w:t xml:space="preserve">At higher levels, even the most recent analyses are less successful. </w:t>
      </w:r>
      <w:proofErr w:type="spellStart"/>
      <w:r>
        <w:t>Manney</w:t>
      </w:r>
      <w:proofErr w:type="spellEnd"/>
      <w:r>
        <w:t xml:space="preserve"> et al. (2008) demonstrated that structures in the upper stratosphere and mesosphere are not well captured in analyses performed using systems that assimilate only nadir-sounding radiance observations. It has further been shown that the application of variational bias correction does not work well in the upper stratosphere, where the only data sources are deep-layer radiances from AMSU-A Channel 14 or SSU, and the underlying models typically have large and fast-growing biases. Successful application of variational bias correction relies on the availability of a range of near-independent measurements with different (random) biases and also factors in the model state: this fails in the stratopause region because of persistent systematic model errors and the absence of a range of observations. </w:t>
      </w:r>
    </w:p>
    <w:p w:rsidR="00D52963" w:rsidRDefault="00D52963" w:rsidP="00D52963">
      <w:r>
        <w:t>In the tropics, the quasi-biennial oscillation (QBO) was captured rather well by ERA-15 but not by NCEP/NCAR R1 (</w:t>
      </w:r>
      <w:proofErr w:type="spellStart"/>
      <w:r>
        <w:t>Pawson</w:t>
      </w:r>
      <w:proofErr w:type="spellEnd"/>
      <w:r>
        <w:t xml:space="preserve"> and </w:t>
      </w:r>
      <w:proofErr w:type="spellStart"/>
      <w:r>
        <w:t>Fiorino</w:t>
      </w:r>
      <w:proofErr w:type="spellEnd"/>
      <w:r>
        <w:t xml:space="preserve">, 1998b). Reasons for this are not entirely clear, although </w:t>
      </w:r>
      <w:proofErr w:type="spellStart"/>
      <w:r>
        <w:t>Gaspari</w:t>
      </w:r>
      <w:proofErr w:type="spellEnd"/>
      <w:r>
        <w:t xml:space="preserve"> et al. (2006) showed that adequately long length scales are needed to spread wind information from sparse radiosondes around the globe, and that inadequate data selection can readily lead to good observations being rejected in favor of poor analyses in the tropical stratosphere. ERA-40 analyses of the QBO are in excellent agreement with observations, to the extent that these are used as pseudo-observations in the NCEP CFSR.  Figure 17 shows that the reanalyses now show very realistic zonal wind variability associated with the QBO.  There is less agreement about tropical winds in the upper stratosphere, dominated by half-yearly wind oscillations, where no direct constraints are available and the issues associated with model bias and the availability of deep-layer radiance observations are major factors.  </w:t>
      </w:r>
    </w:p>
    <w:p w:rsidR="00A447DD" w:rsidRDefault="00A447DD" w:rsidP="00A447DD"/>
    <w:p w:rsidR="006B364D" w:rsidRDefault="006B364D" w:rsidP="00A447DD">
      <w:pPr>
        <w:jc w:val="center"/>
      </w:pPr>
    </w:p>
    <w:p w:rsidR="006B364D" w:rsidRDefault="00E04924" w:rsidP="00A447DD">
      <w:pPr>
        <w:jc w:val="center"/>
      </w:pPr>
      <w:r>
        <w:rPr>
          <w:noProof/>
        </w:rPr>
        <w:pict>
          <v:group id="_x0000_s1063" style="position:absolute;left:0;text-align:left;margin-left:120.9pt;margin-top:-14.35pt;width:76.25pt;height:210.15pt;z-index:251683840" coordorigin="3858,1153" coordsize="1525,4203" wrapcoords="-211 0 -211 1465 8894 2391 10800 2468 10800 9951 -211 11108 -211 12574 8894 13500 10800 13577 10800 19748 635 20057 -211 20134 -211 21445 21600 21445 21600 20057 10800 19748 10800 13577 21600 12497 21600 11108 10800 9874 11435 2391 15458 1388 15458 0 -211 0">
            <v:shape id="_x0000_s1060" type="#_x0000_t202" style="position:absolute;left:3858;top:1153;width:1080;height:288;mso-wrap-edited:f;mso-position-horizontal:absolute;mso-position-vertical:absolute" wrapcoords="0 0 21600 0 21600 21600 0 21600 0 0" fillcolor="white [3212]" stroked="f">
              <v:fill o:detectmouseclick="t"/>
              <v:textbox inset=",0,,0">
                <w:txbxContent>
                  <w:p w:rsidR="00B41FDF" w:rsidRPr="00876918" w:rsidRDefault="00B41FDF">
                    <w:pPr>
                      <w:rPr>
                        <w:rFonts w:ascii="Helvetica" w:hAnsi="Helvetica"/>
                        <w:sz w:val="22"/>
                      </w:rPr>
                    </w:pPr>
                    <w:r w:rsidRPr="00876918">
                      <w:rPr>
                        <w:rFonts w:ascii="Helvetica" w:hAnsi="Helvetica"/>
                        <w:sz w:val="22"/>
                      </w:rPr>
                      <w:t>MERRA</w:t>
                    </w:r>
                  </w:p>
                </w:txbxContent>
              </v:textbox>
            </v:shape>
            <v:shape id="_x0000_s1061" type="#_x0000_t202" style="position:absolute;left:3858;top:3313;width:1512;height:288;mso-wrap-edited:f;mso-position-horizontal:absolute;mso-position-vertical:absolute" wrapcoords="0 0 21600 0 21600 21600 0 21600 0 0" fillcolor="white [3212]" stroked="f">
              <v:fill o:detectmouseclick="t"/>
              <v:textbox inset=",0,,0">
                <w:txbxContent>
                  <w:p w:rsidR="00B41FDF" w:rsidRPr="00876918" w:rsidRDefault="00B41FDF" w:rsidP="00876918">
                    <w:pPr>
                      <w:rPr>
                        <w:rFonts w:ascii="Helvetica" w:hAnsi="Helvetica"/>
                        <w:sz w:val="22"/>
                      </w:rPr>
                    </w:pPr>
                    <w:r>
                      <w:rPr>
                        <w:rFonts w:ascii="Helvetica" w:hAnsi="Helvetica"/>
                        <w:sz w:val="22"/>
                      </w:rPr>
                      <w:t>ERA-Interim</w:t>
                    </w:r>
                  </w:p>
                </w:txbxContent>
              </v:textbox>
            </v:shape>
            <v:shape id="_x0000_s1062" type="#_x0000_t202" style="position:absolute;left:3871;top:5068;width:1512;height:288;mso-wrap-edited:f;mso-position-horizontal:absolute;mso-position-vertical:absolute" wrapcoords="0 0 21600 0 21600 21600 0 21600 0 0" fillcolor="white [3212]" stroked="f">
              <v:fill o:detectmouseclick="t"/>
              <v:textbox inset=",0,,0">
                <w:txbxContent>
                  <w:p w:rsidR="00B41FDF" w:rsidRPr="00876918" w:rsidRDefault="00B41FDF" w:rsidP="00876918">
                    <w:pPr>
                      <w:rPr>
                        <w:rFonts w:ascii="Helvetica" w:hAnsi="Helvetica"/>
                        <w:sz w:val="22"/>
                      </w:rPr>
                    </w:pPr>
                    <w:r>
                      <w:rPr>
                        <w:rFonts w:ascii="Helvetica" w:hAnsi="Helvetica"/>
                        <w:sz w:val="22"/>
                      </w:rPr>
                      <w:t>ERA-40</w:t>
                    </w:r>
                  </w:p>
                </w:txbxContent>
              </v:textbox>
            </v:shape>
          </v:group>
        </w:pict>
      </w:r>
      <w:r w:rsidR="006B364D">
        <w:rPr>
          <w:noProof/>
        </w:rPr>
        <w:drawing>
          <wp:inline distT="0" distB="0" distL="0" distR="0">
            <wp:extent cx="4402667" cy="1024466"/>
            <wp:effectExtent l="25400" t="0" r="0" b="0"/>
            <wp:docPr id="11" name="Picture 10" descr="QBO_mer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BO_merra.gif"/>
                    <pic:cNvPicPr/>
                  </pic:nvPicPr>
                  <pic:blipFill>
                    <a:blip r:embed="rId31"/>
                    <a:srcRect t="56965" b="12930"/>
                    <a:stretch>
                      <a:fillRect/>
                    </a:stretch>
                  </pic:blipFill>
                  <pic:spPr>
                    <a:xfrm>
                      <a:off x="0" y="0"/>
                      <a:ext cx="4402667" cy="1024466"/>
                    </a:xfrm>
                    <a:prstGeom prst="rect">
                      <a:avLst/>
                    </a:prstGeom>
                  </pic:spPr>
                </pic:pic>
              </a:graphicData>
            </a:graphic>
          </wp:inline>
        </w:drawing>
      </w:r>
    </w:p>
    <w:p w:rsidR="006B364D" w:rsidRDefault="006B364D" w:rsidP="00A447DD">
      <w:pPr>
        <w:jc w:val="center"/>
      </w:pPr>
      <w:r>
        <w:rPr>
          <w:noProof/>
        </w:rPr>
        <w:drawing>
          <wp:inline distT="0" distB="0" distL="0" distR="0">
            <wp:extent cx="4402667" cy="999067"/>
            <wp:effectExtent l="25400" t="0" r="0" b="0"/>
            <wp:docPr id="12" name="Picture 11" descr="QBO_ecinteri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BO_ecinterim.gif"/>
                    <pic:cNvPicPr/>
                  </pic:nvPicPr>
                  <pic:blipFill>
                    <a:blip r:embed="rId32"/>
                    <a:srcRect t="56963" b="13806"/>
                    <a:stretch>
                      <a:fillRect/>
                    </a:stretch>
                  </pic:blipFill>
                  <pic:spPr>
                    <a:xfrm>
                      <a:off x="0" y="0"/>
                      <a:ext cx="4402667" cy="999067"/>
                    </a:xfrm>
                    <a:prstGeom prst="rect">
                      <a:avLst/>
                    </a:prstGeom>
                  </pic:spPr>
                </pic:pic>
              </a:graphicData>
            </a:graphic>
          </wp:inline>
        </w:drawing>
      </w:r>
    </w:p>
    <w:p w:rsidR="00A447DD" w:rsidRDefault="006B364D" w:rsidP="00A447DD">
      <w:pPr>
        <w:jc w:val="center"/>
      </w:pPr>
      <w:r>
        <w:rPr>
          <w:noProof/>
        </w:rPr>
        <w:drawing>
          <wp:inline distT="0" distB="0" distL="0" distR="0">
            <wp:extent cx="4402667" cy="1024467"/>
            <wp:effectExtent l="25400" t="0" r="0" b="0"/>
            <wp:docPr id="13" name="Picture 12" descr="QBO_era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BO_era40.gif"/>
                    <pic:cNvPicPr/>
                  </pic:nvPicPr>
                  <pic:blipFill>
                    <a:blip r:embed="rId33"/>
                    <a:srcRect t="57214" b="12687"/>
                    <a:stretch>
                      <a:fillRect/>
                    </a:stretch>
                  </pic:blipFill>
                  <pic:spPr>
                    <a:xfrm>
                      <a:off x="0" y="0"/>
                      <a:ext cx="4402667" cy="1024467"/>
                    </a:xfrm>
                    <a:prstGeom prst="rect">
                      <a:avLst/>
                    </a:prstGeom>
                  </pic:spPr>
                </pic:pic>
              </a:graphicData>
            </a:graphic>
          </wp:inline>
        </w:drawing>
      </w:r>
      <w:r w:rsidRPr="006B364D">
        <w:rPr>
          <w:noProof/>
        </w:rPr>
        <w:drawing>
          <wp:inline distT="0" distB="0" distL="0" distR="0">
            <wp:extent cx="4402667" cy="228600"/>
            <wp:effectExtent l="25400" t="0" r="0" b="0"/>
            <wp:docPr id="15" name="Picture 12" descr="QBO_era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BO_era40.gif"/>
                    <pic:cNvPicPr/>
                  </pic:nvPicPr>
                  <pic:blipFill>
                    <a:blip r:embed="rId33"/>
                    <a:srcRect t="45771" b="47513"/>
                    <a:stretch>
                      <a:fillRect/>
                    </a:stretch>
                  </pic:blipFill>
                  <pic:spPr>
                    <a:xfrm>
                      <a:off x="0" y="0"/>
                      <a:ext cx="4402667" cy="228600"/>
                    </a:xfrm>
                    <a:prstGeom prst="rect">
                      <a:avLst/>
                    </a:prstGeom>
                  </pic:spPr>
                </pic:pic>
              </a:graphicData>
            </a:graphic>
          </wp:inline>
        </w:drawing>
      </w:r>
    </w:p>
    <w:p w:rsidR="00A447DD" w:rsidRPr="00257A65" w:rsidRDefault="00CE0715" w:rsidP="00A447DD">
      <w:pPr>
        <w:pStyle w:val="FigureCaption"/>
        <w:rPr>
          <w:color w:val="FF0000"/>
        </w:rPr>
      </w:pPr>
      <w:proofErr w:type="gramStart"/>
      <w:r>
        <w:t>Figure 1</w:t>
      </w:r>
      <w:r w:rsidR="00E2460F">
        <w:t>7</w:t>
      </w:r>
      <w:r w:rsidR="00A447DD">
        <w:t>: The QBO and SAO from the zonal mean zonal wind component averaged between 10°S and 10°N.</w:t>
      </w:r>
      <w:proofErr w:type="gramEnd"/>
      <w:r w:rsidR="00A447DD">
        <w:t xml:space="preserve">  </w:t>
      </w:r>
    </w:p>
    <w:p w:rsidR="00D52963" w:rsidRDefault="00D52963" w:rsidP="00D52963">
      <w:pPr>
        <w:rPr>
          <w:color w:val="000000" w:themeColor="text1"/>
        </w:rPr>
      </w:pPr>
      <w:r w:rsidRPr="00C50F26">
        <w:rPr>
          <w:color w:val="000000" w:themeColor="text1"/>
        </w:rPr>
        <w:t>Stratospheric applications of reanalyses include computations of trace gas transport, which are strongly sensitive to the strength and structure of the Brewer-Dobson circulation.  Meteorological analyses performed in the 1990s typical</w:t>
      </w:r>
      <w:r>
        <w:rPr>
          <w:color w:val="000000" w:themeColor="text1"/>
        </w:rPr>
        <w:t>ly</w:t>
      </w:r>
      <w:r w:rsidRPr="00C50F26">
        <w:rPr>
          <w:color w:val="000000" w:themeColor="text1"/>
        </w:rPr>
        <w:t xml:space="preserve"> showed an over-strong Brewer-Dobson circulation, with excessive tropical ascent and high-latitude descent (e.g., Douglass et al., 1996), leading to unrealistically low</w:t>
      </w:r>
      <w:r>
        <w:rPr>
          <w:color w:val="000000" w:themeColor="text1"/>
        </w:rPr>
        <w:t xml:space="preserve"> (</w:t>
      </w:r>
      <w:r w:rsidRPr="00C50F26">
        <w:rPr>
          <w:color w:val="000000" w:themeColor="text1"/>
        </w:rPr>
        <w:t>high</w:t>
      </w:r>
      <w:r>
        <w:rPr>
          <w:color w:val="000000" w:themeColor="text1"/>
        </w:rPr>
        <w:t>)</w:t>
      </w:r>
      <w:r w:rsidRPr="00C50F26">
        <w:rPr>
          <w:color w:val="000000" w:themeColor="text1"/>
        </w:rPr>
        <w:t xml:space="preserve"> values of tropical</w:t>
      </w:r>
      <w:r>
        <w:rPr>
          <w:color w:val="000000" w:themeColor="text1"/>
        </w:rPr>
        <w:t xml:space="preserve"> (</w:t>
      </w:r>
      <w:r w:rsidRPr="00C50F26">
        <w:rPr>
          <w:color w:val="000000" w:themeColor="text1"/>
        </w:rPr>
        <w:t>polar</w:t>
      </w:r>
      <w:r>
        <w:rPr>
          <w:color w:val="000000" w:themeColor="text1"/>
        </w:rPr>
        <w:t>)</w:t>
      </w:r>
      <w:r w:rsidRPr="00C50F26">
        <w:rPr>
          <w:color w:val="000000" w:themeColor="text1"/>
        </w:rPr>
        <w:t xml:space="preserve"> ozone columns.  In the early 2000s, analyses tended to transport trace gases in an over-dispersive manner (e.g., </w:t>
      </w:r>
      <w:proofErr w:type="spellStart"/>
      <w:r w:rsidRPr="00C50F26">
        <w:rPr>
          <w:color w:val="000000" w:themeColor="text1"/>
        </w:rPr>
        <w:t>Schoeberl</w:t>
      </w:r>
      <w:proofErr w:type="spellEnd"/>
      <w:r w:rsidRPr="00C50F26">
        <w:rPr>
          <w:color w:val="000000" w:themeColor="text1"/>
        </w:rPr>
        <w:t xml:space="preserve"> et al., 2003 or Tan et al., 2004), leading to excessively young mean age of air and unrealistic age spectra.  In the middle 2000s, the introduction of time smoothing techniques led to more realistic ozone transport computations and mean age of air distributions (e.g., </w:t>
      </w:r>
      <w:proofErr w:type="spellStart"/>
      <w:r w:rsidRPr="00C50F26">
        <w:rPr>
          <w:color w:val="000000" w:themeColor="text1"/>
        </w:rPr>
        <w:t>Pawson</w:t>
      </w:r>
      <w:proofErr w:type="spellEnd"/>
      <w:r w:rsidRPr="00C50F26">
        <w:rPr>
          <w:color w:val="000000" w:themeColor="text1"/>
        </w:rPr>
        <w:t xml:space="preserve"> et al., 2007). </w:t>
      </w:r>
      <w:proofErr w:type="spellStart"/>
      <w:r w:rsidRPr="00C50F26">
        <w:rPr>
          <w:color w:val="000000" w:themeColor="text1"/>
        </w:rPr>
        <w:t>Monge-Sanz</w:t>
      </w:r>
      <w:proofErr w:type="spellEnd"/>
      <w:r w:rsidRPr="00C50F26">
        <w:rPr>
          <w:color w:val="000000" w:themeColor="text1"/>
        </w:rPr>
        <w:t xml:space="preserve"> et al. (2007) showed successive improvements in stratospheric transport computed from ECMWF analyses that arose from increasing vertical resolution in the stratosphere of the analysis system and ultimately the introduction of 4D-Var, which includes time variations of meteorological fields in the control vector.  </w:t>
      </w:r>
    </w:p>
    <w:p w:rsidR="00B47595" w:rsidRDefault="00A447DD">
      <w:r w:rsidRPr="00C50F26">
        <w:rPr>
          <w:color w:val="000000" w:themeColor="text1"/>
        </w:rPr>
        <w:t xml:space="preserve">Regardless of these improvements in the Brewer-Dobson circulation, the fact remains that stratospheric transport depends crucially on our ability to represent the slow divergent motion in a system where assimilation constraints are imposed at a frequency consistent with synoptic variations and which is optimized to constrain the rotational component of the flow. </w:t>
      </w:r>
    </w:p>
    <w:p w:rsidR="00814748" w:rsidRDefault="00D52963" w:rsidP="00494090">
      <w:pPr>
        <w:pStyle w:val="Heading2"/>
      </w:pPr>
      <w:r>
        <w:t>Trends and Long-term Variability</w:t>
      </w:r>
    </w:p>
    <w:p w:rsidR="00B46D1E" w:rsidRDefault="00D52963" w:rsidP="00A6676C">
      <w:r>
        <w:t xml:space="preserve">All reanalyses are affected by changes in the observing system, especially quantities involving the hydrological cycle (e.g., precipitation and clouds).  Such quantities are especially sensitive to changes in moisture data through their impacts on the model convection schemes.  Major changes to the observing system – such as the introduction of SSM/I in 1987, AMSU in 1998 and AIRS in 2002 – can produce spurious trends and distort long-term variability.  As an example, the time series of global mean precipitation, which is a particularly sensitive measure of changes in the hydrological cycle, shows a number of abrupt changes as well as trends that appear to be linked to changes in the satellite observing system (Figure 18a).  The more recent reanalyses, while showing more realistic magnitudes, still suffer from this problem.  Interestingly, the “responses” to the observing system changes are very different among the different reanalyses. After the </w:t>
      </w:r>
      <w:proofErr w:type="gramStart"/>
      <w:r>
        <w:t>introduction of AMSU-A on NOAA-16, ERA-Interim and MERRA have</w:t>
      </w:r>
      <w:proofErr w:type="gramEnd"/>
      <w:r>
        <w:t xml:space="preserve"> virtually the same global mean precipitation rate and similar annual cycles.  However the time series do not stay synchronized, and, particularly after the demise of AMSU-A on NOAA-16, the two time series depart toward their different pre-NOAA-16 levels.  AMSU-A has a strong impact on the annual cycle in MERRA (Figure 19), much more so than in (and in the opposite direction to) CFSR. </w:t>
      </w:r>
      <w:r w:rsidR="005E0256">
        <w:t xml:space="preserve"> </w:t>
      </w:r>
    </w:p>
    <w:p w:rsidR="00731660" w:rsidRDefault="00E04924" w:rsidP="00A6676C">
      <w:r>
        <w:rPr>
          <w:noProof/>
        </w:rPr>
        <w:pict>
          <v:shape id="_x0000_s1035" type="#_x0000_t202" style="position:absolute;left:0;text-align:left;margin-left:393.9pt;margin-top:194.1pt;width:50.4pt;height:23.05pt;z-index:251664384;mso-wrap-edited:f;mso-position-horizontal:absolute;mso-position-vertical:absolute" wrapcoords="0 0 21600 0 21600 21600 0 21600 0 0" fillcolor="white [3212]" stroked="f">
            <v:fill o:detectmouseclick="t"/>
            <v:textbox style="mso-next-textbox:#_x0000_s1035" inset="3.6pt,0,0,0">
              <w:txbxContent>
                <w:p w:rsidR="00B41FDF" w:rsidRDefault="00B41FDF" w:rsidP="00B46D1E">
                  <w:pPr>
                    <w:spacing w:after="0"/>
                    <w:rPr>
                      <w:rFonts w:ascii="Arial" w:hAnsi="Arial"/>
                      <w:b/>
                      <w:color w:val="4F81BD" w:themeColor="accent1"/>
                      <w:sz w:val="22"/>
                    </w:rPr>
                  </w:pPr>
                  <w:r w:rsidRPr="00B46D1E">
                    <w:rPr>
                      <w:rFonts w:ascii="Arial" w:hAnsi="Arial"/>
                      <w:b/>
                      <w:color w:val="4F81BD" w:themeColor="accent1"/>
                      <w:sz w:val="22"/>
                    </w:rPr>
                    <w:t>N1</w:t>
                  </w:r>
                  <w:r>
                    <w:rPr>
                      <w:rFonts w:ascii="Arial" w:hAnsi="Arial"/>
                      <w:b/>
                      <w:color w:val="4F81BD" w:themeColor="accent1"/>
                      <w:sz w:val="22"/>
                    </w:rPr>
                    <w:t>6</w:t>
                  </w:r>
                </w:p>
                <w:p w:rsidR="00B41FDF" w:rsidRPr="00B46D1E" w:rsidRDefault="00B41FDF" w:rsidP="00B46D1E">
                  <w:pPr>
                    <w:spacing w:after="0"/>
                    <w:rPr>
                      <w:rFonts w:ascii="Arial" w:hAnsi="Arial"/>
                      <w:b/>
                      <w:color w:val="4F81BD" w:themeColor="accent1"/>
                      <w:sz w:val="22"/>
                    </w:rPr>
                  </w:pPr>
                  <w:r>
                    <w:rPr>
                      <w:rFonts w:ascii="Arial" w:hAnsi="Arial"/>
                      <w:b/>
                      <w:color w:val="4F81BD" w:themeColor="accent1"/>
                      <w:sz w:val="22"/>
                    </w:rPr>
                    <w:t>AMSU-A</w:t>
                  </w:r>
                </w:p>
              </w:txbxContent>
            </v:textbox>
          </v:shape>
        </w:pict>
      </w:r>
      <w:r>
        <w:rPr>
          <w:noProof/>
        </w:rPr>
        <w:pict>
          <v:shape id="_x0000_s1034" type="#_x0000_t202" style="position:absolute;left:0;text-align:left;margin-left:266.05pt;margin-top:205.5pt;width:25.2pt;height:14.4pt;z-index:251663360;mso-wrap-edited:f;mso-position-horizontal:absolute;mso-position-vertical:absolute" wrapcoords="0 0 21600 0 21600 21600 0 21600 0 0" fillcolor="white [3212]" stroked="f">
            <v:fill o:detectmouseclick="t"/>
            <v:textbox inset="3.6pt,0,0,0">
              <w:txbxContent>
                <w:p w:rsidR="00B41FDF" w:rsidRPr="00B46D1E" w:rsidRDefault="00B41FDF" w:rsidP="00B46D1E">
                  <w:pPr>
                    <w:rPr>
                      <w:rFonts w:ascii="Arial" w:hAnsi="Arial"/>
                      <w:b/>
                      <w:color w:val="4F81BD" w:themeColor="accent1"/>
                      <w:sz w:val="22"/>
                    </w:rPr>
                  </w:pPr>
                  <w:r w:rsidRPr="00B46D1E">
                    <w:rPr>
                      <w:rFonts w:ascii="Arial" w:hAnsi="Arial"/>
                      <w:b/>
                      <w:color w:val="4F81BD" w:themeColor="accent1"/>
                      <w:sz w:val="22"/>
                    </w:rPr>
                    <w:t>N1</w:t>
                  </w:r>
                  <w:r>
                    <w:rPr>
                      <w:rFonts w:ascii="Arial" w:hAnsi="Arial"/>
                      <w:b/>
                      <w:color w:val="4F81BD" w:themeColor="accent1"/>
                      <w:sz w:val="22"/>
                    </w:rPr>
                    <w:t>6</w:t>
                  </w:r>
                </w:p>
              </w:txbxContent>
            </v:textbox>
          </v:shape>
        </w:pict>
      </w:r>
      <w:r>
        <w:rPr>
          <w:noProof/>
        </w:rPr>
        <w:pict>
          <v:shape id="_x0000_s1033" type="#_x0000_t202" style="position:absolute;left:0;text-align:left;margin-left:225.45pt;margin-top:204.5pt;width:25.2pt;height:14.4pt;z-index:251662336;mso-wrap-edited:f;mso-position-horizontal:absolute;mso-position-vertical:absolute" wrapcoords="0 0 21600 0 21600 21600 0 21600 0 0" fillcolor="white [3212]" stroked="f">
            <v:fill o:detectmouseclick="t"/>
            <v:textbox inset="3.6pt,0,0,0">
              <w:txbxContent>
                <w:p w:rsidR="00B41FDF" w:rsidRPr="00B46D1E" w:rsidRDefault="00B41FDF">
                  <w:pPr>
                    <w:rPr>
                      <w:rFonts w:ascii="Arial" w:hAnsi="Arial"/>
                      <w:b/>
                      <w:color w:val="4F81BD" w:themeColor="accent1"/>
                      <w:sz w:val="22"/>
                    </w:rPr>
                  </w:pPr>
                  <w:r w:rsidRPr="00B46D1E">
                    <w:rPr>
                      <w:rFonts w:ascii="Arial" w:hAnsi="Arial"/>
                      <w:b/>
                      <w:color w:val="4F81BD" w:themeColor="accent1"/>
                      <w:sz w:val="22"/>
                    </w:rPr>
                    <w:t>N15</w:t>
                  </w:r>
                </w:p>
              </w:txbxContent>
            </v:textbox>
          </v:shape>
        </w:pict>
      </w:r>
      <w:r>
        <w:rPr>
          <w:noProof/>
        </w:rPr>
        <w:pict>
          <v:line id="_x0000_s1032" style="position:absolute;left:0;text-align:left;z-index:251661312;mso-wrap-edited:f;mso-position-horizontal:absolute;mso-position-vertical:absolute" from="392.2pt,43.05pt" to="392.2pt,223.05pt" wrapcoords="-2147483648 0 -2147483648 21420 -2147483648 21420 -2147483648 0 -2147483648 0" strokecolor="#4a7ebb" strokeweight="1.5pt">
            <v:fill o:detectmouseclick="t"/>
            <v:stroke dashstyle="dash"/>
            <v:shadow opacity="22938f" mv:blur="38100f" offset="0,2pt"/>
            <v:textbox inset=",7.2pt,,7.2pt"/>
          </v:line>
        </w:pict>
      </w:r>
      <w:r>
        <w:rPr>
          <w:noProof/>
        </w:rPr>
        <w:pict>
          <v:line id="_x0000_s1031" style="position:absolute;left:0;text-align:left;z-index:251660288;mso-wrap-edited:f;mso-position-horizontal:absolute;mso-position-vertical:absolute" from="264.25pt,43.05pt" to="264.25pt,223.05pt" wrapcoords="-2147483648 0 -2147483648 21420 -2147483648 21420 -2147483648 0 -2147483648 0" strokecolor="#4a7ebb" strokeweight="1.5pt">
            <v:fill o:detectmouseclick="t"/>
            <v:stroke dashstyle="dash"/>
            <v:shadow opacity="22938f" mv:blur="38100f" offset="0,2pt"/>
            <v:textbox inset=",7.2pt,,7.2pt"/>
          </v:line>
        </w:pict>
      </w:r>
      <w:r>
        <w:rPr>
          <w:noProof/>
        </w:rPr>
        <w:pict>
          <v:line id="_x0000_s1030" style="position:absolute;left:0;text-align:left;z-index:251659264;mso-wrap-edited:f;mso-position-horizontal:absolute;mso-position-vertical:absolute" from="224.35pt,43.05pt" to="224.35pt,223.05pt" strokecolor="#4a7ebb" strokeweight="1.5pt">
            <v:fill o:detectmouseclick="t"/>
            <v:stroke dashstyle="dash"/>
            <v:shadow opacity="22938f" mv:blur="38100f" offset="0,2pt"/>
            <v:textbox inset=",7.2pt,,7.2pt"/>
          </v:line>
        </w:pict>
      </w:r>
      <w:r w:rsidR="00B46D1E" w:rsidRPr="00B46D1E">
        <w:rPr>
          <w:noProof/>
        </w:rPr>
        <w:drawing>
          <wp:inline distT="0" distB="0" distL="0" distR="0">
            <wp:extent cx="5825067" cy="2988734"/>
            <wp:effectExtent l="25400" t="0" r="0" b="0"/>
            <wp:docPr id="14" name="Picture 3" descr="D:\WDir\MERRA\Reanalyses\prects_1989_201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Dir\MERRA\Reanalyses\prects_1989_2012b.png"/>
                    <pic:cNvPicPr>
                      <a:picLocks noChangeAspect="1" noChangeArrowheads="1"/>
                    </pic:cNvPicPr>
                  </pic:nvPicPr>
                  <pic:blipFill>
                    <a:blip r:embed="rId34" cstate="print"/>
                    <a:srcRect l="3205" t="15480" r="16987" b="43202"/>
                    <a:stretch>
                      <a:fillRect/>
                    </a:stretch>
                  </pic:blipFill>
                  <pic:spPr bwMode="auto">
                    <a:xfrm>
                      <a:off x="0" y="0"/>
                      <a:ext cx="5825067" cy="2988734"/>
                    </a:xfrm>
                    <a:prstGeom prst="rect">
                      <a:avLst/>
                    </a:prstGeom>
                    <a:noFill/>
                    <a:ln w="9525">
                      <a:noFill/>
                      <a:miter lim="800000"/>
                      <a:headEnd/>
                      <a:tailEnd/>
                    </a:ln>
                  </pic:spPr>
                </pic:pic>
              </a:graphicData>
            </a:graphic>
          </wp:inline>
        </w:drawing>
      </w:r>
    </w:p>
    <w:p w:rsidR="00F029F5" w:rsidRDefault="00731660" w:rsidP="00B46D1E">
      <w:pPr>
        <w:pStyle w:val="FigureCaption"/>
      </w:pPr>
      <w:r>
        <w:t>Figur</w:t>
      </w:r>
      <w:r w:rsidR="00B2130B">
        <w:t>e 18</w:t>
      </w:r>
      <w:r w:rsidR="003568F9">
        <w:t>a</w:t>
      </w:r>
      <w:r w:rsidR="00B2130B">
        <w:t xml:space="preserve">: Global mean precipitation from the most recent set of reanalyses compared against two observational data sets, GPCP and CMAP. The times of introduction of AMSU-A on NOAA-15 and NOAA-16 are shown, along with the timing of the removal of AMSU-A on NOAA-16 because of instrument failure. </w:t>
      </w:r>
    </w:p>
    <w:p w:rsidR="00F029F5" w:rsidRDefault="00E04924" w:rsidP="00F029F5">
      <w:pPr>
        <w:spacing w:after="0"/>
        <w:jc w:val="center"/>
        <w:rPr>
          <w:color w:val="FF0000"/>
        </w:rPr>
      </w:pPr>
      <w:r>
        <w:rPr>
          <w:noProof/>
          <w:color w:val="FF0000"/>
        </w:rPr>
        <w:pict>
          <v:line id="_x0000_s1052" style="position:absolute;left:0;text-align:left;z-index:251676672;mso-wrap-edited:f;mso-position-horizontal:absolute;mso-position-vertical:absolute" from="87.5pt,113.75pt" to="413.65pt,113.75pt" strokecolor="black [3213]" strokeweight="2pt">
            <v:fill o:detectmouseclick="t"/>
            <v:shadow opacity="22938f" mv:blur="38100f" offset="0,2pt"/>
            <v:textbox inset=",7.2pt,,7.2pt"/>
          </v:line>
        </w:pict>
      </w:r>
      <w:r w:rsidR="00F029F5" w:rsidRPr="00452F3F">
        <w:rPr>
          <w:noProof/>
          <w:color w:val="FF0000"/>
        </w:rPr>
        <w:drawing>
          <wp:inline distT="0" distB="0" distL="0" distR="0">
            <wp:extent cx="4721013" cy="2221654"/>
            <wp:effectExtent l="25400" t="0" r="3387" b="0"/>
            <wp:docPr id="47" name="Picture 4" descr="D:\WDir\MERRA\Reanalyses\pme_1989_201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Dir\MERRA\Reanalyses\pme_1989_2012b.png"/>
                    <pic:cNvPicPr preferRelativeResize="0">
                      <a:picLocks noChangeAspect="1" noChangeArrowheads="1"/>
                    </pic:cNvPicPr>
                  </pic:nvPicPr>
                  <pic:blipFill>
                    <a:blip r:embed="rId35" cstate="print"/>
                    <a:srcRect l="3045" t="21330" r="16506" b="42879"/>
                    <a:stretch>
                      <a:fillRect/>
                    </a:stretch>
                  </pic:blipFill>
                  <pic:spPr bwMode="auto">
                    <a:xfrm>
                      <a:off x="0" y="0"/>
                      <a:ext cx="4721013" cy="2221654"/>
                    </a:xfrm>
                    <a:prstGeom prst="rect">
                      <a:avLst/>
                    </a:prstGeom>
                    <a:noFill/>
                    <a:ln w="9525">
                      <a:noFill/>
                      <a:miter lim="800000"/>
                      <a:headEnd/>
                      <a:tailEnd/>
                    </a:ln>
                  </pic:spPr>
                </pic:pic>
              </a:graphicData>
            </a:graphic>
          </wp:inline>
        </w:drawing>
      </w:r>
    </w:p>
    <w:p w:rsidR="00F029F5" w:rsidRDefault="00F029F5" w:rsidP="00F029F5">
      <w:pPr>
        <w:spacing w:after="0"/>
        <w:jc w:val="center"/>
        <w:rPr>
          <w:color w:val="FF0000"/>
        </w:rPr>
      </w:pPr>
    </w:p>
    <w:p w:rsidR="00C273A0" w:rsidRDefault="00C273A0" w:rsidP="00F029F5">
      <w:pPr>
        <w:pStyle w:val="FigureCaption"/>
        <w:ind w:left="810"/>
        <w:jc w:val="left"/>
      </w:pPr>
      <w:r>
        <w:t>Figure 18b</w:t>
      </w:r>
      <w:r w:rsidR="00F029F5">
        <w:t>: Global mean analysis increment of moisture inferred from the imbalance betwee</w:t>
      </w:r>
      <w:r w:rsidR="00644027">
        <w:t>n evaporation and precipitation, from</w:t>
      </w:r>
      <w:r w:rsidR="00644027" w:rsidRPr="008324AE">
        <w:t xml:space="preserve"> </w:t>
      </w:r>
      <w:r w:rsidR="00644027">
        <w:t>ERA-Interim (red</w:t>
      </w:r>
      <w:r w:rsidR="00644027" w:rsidRPr="008324AE">
        <w:t>)</w:t>
      </w:r>
      <w:r w:rsidR="00644027">
        <w:t xml:space="preserve">, </w:t>
      </w:r>
      <w:r w:rsidR="00644027" w:rsidRPr="008324AE">
        <w:t xml:space="preserve">JRA-25 (orange), </w:t>
      </w:r>
      <w:r w:rsidR="00644027">
        <w:t>MERRA (green), and CFSR (purple</w:t>
      </w:r>
      <w:r w:rsidR="00644027" w:rsidRPr="008324AE">
        <w:t>)</w:t>
      </w:r>
      <w:r w:rsidR="00644027">
        <w:t>.</w:t>
      </w:r>
    </w:p>
    <w:p w:rsidR="00B36E85" w:rsidRPr="00BE61F5" w:rsidRDefault="00B36E85" w:rsidP="00B36E85">
      <w:r>
        <w:t>The time series of the inferred analysis increment of moisture (Figure 18b) clearly shows the impact of the changing observing system.  The increment in ERA-Interim is smaller than those in the other reanalyses, but still shows changes that coincide with the changes in the availability of AMSU-A.  The increments in MERRA and CFSR are very highly correlated although their mean values differ.</w:t>
      </w:r>
    </w:p>
    <w:p w:rsidR="00005CB5" w:rsidRPr="00BE61F5" w:rsidRDefault="00005CB5" w:rsidP="00BE61F5"/>
    <w:p w:rsidR="00005CB5" w:rsidRPr="003C5057" w:rsidRDefault="00005CB5" w:rsidP="00005CB5">
      <w:pPr>
        <w:spacing w:after="0"/>
        <w:jc w:val="center"/>
        <w:rPr>
          <w:color w:val="FF0000"/>
        </w:rPr>
      </w:pPr>
      <w:r>
        <w:rPr>
          <w:noProof/>
          <w:color w:val="FF0000"/>
        </w:rPr>
        <w:drawing>
          <wp:inline distT="0" distB="0" distL="0" distR="0">
            <wp:extent cx="1898229" cy="1303866"/>
            <wp:effectExtent l="25400" t="0" r="6771" b="0"/>
            <wp:docPr id="49" name="Picture 28"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referRelativeResize="0"/>
                  </pic:nvPicPr>
                  <pic:blipFill>
                    <a:blip r:embed="rId36"/>
                    <a:srcRect l="61040" t="15399" r="10016" b="57830"/>
                    <a:stretch>
                      <a:fillRect/>
                    </a:stretch>
                  </pic:blipFill>
                  <pic:spPr>
                    <a:xfrm>
                      <a:off x="0" y="0"/>
                      <a:ext cx="1898229" cy="1303866"/>
                    </a:xfrm>
                    <a:prstGeom prst="rect">
                      <a:avLst/>
                    </a:prstGeom>
                  </pic:spPr>
                </pic:pic>
              </a:graphicData>
            </a:graphic>
          </wp:inline>
        </w:drawing>
      </w:r>
      <w:r w:rsidRPr="00005CB5">
        <w:rPr>
          <w:noProof/>
          <w:color w:val="FF0000"/>
        </w:rPr>
        <w:drawing>
          <wp:inline distT="0" distB="0" distL="0" distR="0">
            <wp:extent cx="1938866" cy="1202266"/>
            <wp:effectExtent l="25400" t="0" r="0" b="0"/>
            <wp:docPr id="50" name="Picture 28"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referRelativeResize="0"/>
                  </pic:nvPicPr>
                  <pic:blipFill>
                    <a:blip r:embed="rId36"/>
                    <a:srcRect l="61174" t="41445" r="9259" b="34031"/>
                    <a:stretch>
                      <a:fillRect/>
                    </a:stretch>
                  </pic:blipFill>
                  <pic:spPr>
                    <a:xfrm>
                      <a:off x="0" y="0"/>
                      <a:ext cx="1938866" cy="1202266"/>
                    </a:xfrm>
                    <a:prstGeom prst="rect">
                      <a:avLst/>
                    </a:prstGeom>
                  </pic:spPr>
                </pic:pic>
              </a:graphicData>
            </a:graphic>
          </wp:inline>
        </w:drawing>
      </w:r>
      <w:r w:rsidRPr="00005CB5">
        <w:rPr>
          <w:noProof/>
          <w:color w:val="FF0000"/>
        </w:rPr>
        <w:drawing>
          <wp:inline distT="0" distB="0" distL="0" distR="0">
            <wp:extent cx="1921933" cy="1202266"/>
            <wp:effectExtent l="25400" t="0" r="8467" b="0"/>
            <wp:docPr id="52" name="Picture 28"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referRelativeResize="0"/>
                  </pic:nvPicPr>
                  <pic:blipFill>
                    <a:blip r:embed="rId36"/>
                    <a:srcRect l="61213" t="65779" r="9459" b="9696"/>
                    <a:stretch>
                      <a:fillRect/>
                    </a:stretch>
                  </pic:blipFill>
                  <pic:spPr>
                    <a:xfrm>
                      <a:off x="0" y="0"/>
                      <a:ext cx="1921933" cy="1202266"/>
                    </a:xfrm>
                    <a:prstGeom prst="rect">
                      <a:avLst/>
                    </a:prstGeom>
                  </pic:spPr>
                </pic:pic>
              </a:graphicData>
            </a:graphic>
          </wp:inline>
        </w:drawing>
      </w:r>
    </w:p>
    <w:p w:rsidR="00F376C6" w:rsidRPr="00F029F5" w:rsidRDefault="00005CB5" w:rsidP="00BE61F5">
      <w:pPr>
        <w:pStyle w:val="FigureCaption"/>
        <w:ind w:left="810"/>
        <w:jc w:val="left"/>
      </w:pPr>
      <w:proofErr w:type="gramStart"/>
      <w:r>
        <w:t>Figure 19: Annual cycle of the global mean precipitation, evaporation, and their difference, from MERRA.</w:t>
      </w:r>
      <w:proofErr w:type="gramEnd"/>
      <w:r>
        <w:t xml:space="preserve">  The pre-AMSU era is shown in green and the post-AMSU era in cyan. </w:t>
      </w:r>
    </w:p>
    <w:p w:rsidR="00F54EBE" w:rsidRDefault="00B36E85" w:rsidP="00A6676C">
      <w:r>
        <w:t>On the other hand, it appears that some progress has been made regarding trends in surface temperature as a result of improved use of surface observations in the current reanalysis (e.g., Figure 20).</w:t>
      </w:r>
    </w:p>
    <w:p w:rsidR="00435DE6" w:rsidRDefault="00435DE6" w:rsidP="003A1175">
      <w:pPr>
        <w:spacing w:after="120"/>
      </w:pPr>
      <w:r>
        <w:rPr>
          <w:noProof/>
        </w:rPr>
        <w:drawing>
          <wp:inline distT="0" distB="0" distL="0" distR="0">
            <wp:extent cx="5948680" cy="3860800"/>
            <wp:effectExtent l="25400" t="0" r="0" b="0"/>
            <wp:docPr id="20" name="Picture 19"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37"/>
                    <a:srcRect t="13440"/>
                    <a:stretch>
                      <a:fillRect/>
                    </a:stretch>
                  </pic:blipFill>
                  <pic:spPr>
                    <a:xfrm>
                      <a:off x="0" y="0"/>
                      <a:ext cx="5948680" cy="3860800"/>
                    </a:xfrm>
                    <a:prstGeom prst="rect">
                      <a:avLst/>
                    </a:prstGeom>
                  </pic:spPr>
                </pic:pic>
              </a:graphicData>
            </a:graphic>
          </wp:inline>
        </w:drawing>
      </w:r>
    </w:p>
    <w:p w:rsidR="00EF3496" w:rsidRDefault="00BE61F5" w:rsidP="00BE61F5">
      <w:pPr>
        <w:pStyle w:val="FigureCaption"/>
      </w:pPr>
      <w:r>
        <w:t>Figure 20</w:t>
      </w:r>
      <w:r w:rsidR="00435DE6">
        <w:t xml:space="preserve">: Temperature anomalies at 2m (K) </w:t>
      </w:r>
      <w:r w:rsidR="00B2130B">
        <w:t xml:space="preserve">calculated </w:t>
      </w:r>
      <w:r w:rsidR="00435DE6">
        <w:t>relative to</w:t>
      </w:r>
      <w:r w:rsidR="00B2130B">
        <w:t xml:space="preserve"> the</w:t>
      </w:r>
      <w:r w:rsidR="00435DE6">
        <w:t xml:space="preserve"> 1989-1998</w:t>
      </w:r>
      <w:r w:rsidR="00B2130B">
        <w:t xml:space="preserve"> mean</w:t>
      </w:r>
      <w:r w:rsidR="00435DE6">
        <w:t>. The time</w:t>
      </w:r>
      <w:r w:rsidR="00436047">
        <w:t xml:space="preserve"> </w:t>
      </w:r>
      <w:r w:rsidR="00435DE6">
        <w:t>series from ERA-40 and ERA-Interim a</w:t>
      </w:r>
      <w:r w:rsidR="00644027">
        <w:t xml:space="preserve">re compared against the CRUTEM3 </w:t>
      </w:r>
      <w:r w:rsidR="00435DE6">
        <w:t>observations</w:t>
      </w:r>
      <w:r w:rsidR="00644027">
        <w:t xml:space="preserve"> (</w:t>
      </w:r>
      <w:proofErr w:type="spellStart"/>
      <w:r w:rsidR="00644027">
        <w:t>Brohan</w:t>
      </w:r>
      <w:proofErr w:type="spellEnd"/>
      <w:r w:rsidR="00644027">
        <w:t xml:space="preserve"> et al., 2006)</w:t>
      </w:r>
      <w:r w:rsidR="00435DE6">
        <w:t>.</w:t>
      </w:r>
      <w:r w:rsidR="00B2130B">
        <w:t xml:space="preserve"> The topmost panels are the time series of 12-month running global average anomalies.  The top left panel is the time series from anomalies sampled according to availability of CRUTEM3 data (see lower set of panels).  The top right panel is from the raw time series. </w:t>
      </w:r>
    </w:p>
    <w:p w:rsidR="00435DE6" w:rsidRPr="00EF3496" w:rsidRDefault="00B36E85" w:rsidP="00EF3496">
      <w:r>
        <w:t>Figure 21</w:t>
      </w:r>
      <w:r w:rsidRPr="008324AE">
        <w:t xml:space="preserve"> shows time series of the middle and upper stratospheric monthly temperature anomalies in four reanalyses. All are normalized relative to the mean annual cycle in 1990-1995, a period of relative stability.  In the early 1980s all products show evidence of data instability when the first versions of SSU data were available.  The two more recent analyses, MERRA and JRA-25</w:t>
      </w:r>
      <w:r>
        <w:t xml:space="preserve"> in this case</w:t>
      </w:r>
      <w:r w:rsidRPr="008324AE">
        <w:t xml:space="preserve">, track each other well at that time, with better stability than ERA-40, but each shows a warm anomaly at 1hPa in 1982-1984. The analyses are more stable between the middle 1980s and about 1998, when the ERA-Interim data also agree quite well. The ERA-Interim and JRA-25 reanalyses show a similar discontinuity in the upper stratospheric temperature </w:t>
      </w:r>
      <w:r>
        <w:t xml:space="preserve">when </w:t>
      </w:r>
      <w:r w:rsidRPr="008324AE">
        <w:t>AMSU-A</w:t>
      </w:r>
      <w:r>
        <w:t xml:space="preserve"> is introduced</w:t>
      </w:r>
      <w:r w:rsidRPr="008324AE">
        <w:t>. (</w:t>
      </w:r>
      <w:r w:rsidRPr="008324AE">
        <w:rPr>
          <w:color w:val="FF0000"/>
        </w:rPr>
        <w:t xml:space="preserve">Note: </w:t>
      </w:r>
      <w:r w:rsidR="002F2FEB">
        <w:rPr>
          <w:color w:val="FF0000"/>
        </w:rPr>
        <w:t>this occurs in</w:t>
      </w:r>
      <w:r w:rsidRPr="008324AE">
        <w:rPr>
          <w:color w:val="FF0000"/>
        </w:rPr>
        <w:t xml:space="preserve"> 1999 in JRA-25 </w:t>
      </w:r>
      <w:r w:rsidR="002F2FEB">
        <w:rPr>
          <w:color w:val="FF0000"/>
        </w:rPr>
        <w:t xml:space="preserve">because we </w:t>
      </w:r>
      <w:r w:rsidRPr="008324AE">
        <w:rPr>
          <w:color w:val="FF0000"/>
        </w:rPr>
        <w:t>use</w:t>
      </w:r>
      <w:r w:rsidR="002F2FEB">
        <w:rPr>
          <w:color w:val="FF0000"/>
        </w:rPr>
        <w:t xml:space="preserve">d </w:t>
      </w:r>
      <w:r w:rsidRPr="008324AE">
        <w:rPr>
          <w:color w:val="FF0000"/>
        </w:rPr>
        <w:t>old JRA files</w:t>
      </w:r>
      <w:r w:rsidR="002F2FEB">
        <w:rPr>
          <w:color w:val="FF0000"/>
        </w:rPr>
        <w:t>.  These figures need to be re-done.</w:t>
      </w:r>
      <w:r w:rsidRPr="008324AE">
        <w:t>)  This is indicative of different biases in the AMSU-A Channel 14 radiances compared to the infrared radiances ingested from SSU Channel 3. ERA-Interim and JRA-25 show an upward jump at 1hPa and downward jumps at 3</w:t>
      </w:r>
      <w:r>
        <w:t xml:space="preserve"> </w:t>
      </w:r>
      <w:proofErr w:type="spellStart"/>
      <w:r w:rsidRPr="008324AE">
        <w:t>hPa</w:t>
      </w:r>
      <w:proofErr w:type="spellEnd"/>
      <w:r w:rsidRPr="008324AE">
        <w:t xml:space="preserve"> and 5</w:t>
      </w:r>
      <w:r>
        <w:t xml:space="preserve"> </w:t>
      </w:r>
      <w:proofErr w:type="spellStart"/>
      <w:r w:rsidRPr="008324AE">
        <w:t>hPa</w:t>
      </w:r>
      <w:proofErr w:type="spellEnd"/>
      <w:r>
        <w:t>, while t</w:t>
      </w:r>
      <w:r w:rsidRPr="008324AE">
        <w:t>here is rather less impact in ERA-40. MERRA does not show an obvious SSU-AMSU transition in 1998, as evident in ERA-Interim and JRA-25, but there is some suggestion of ano</w:t>
      </w:r>
      <w:r>
        <w:t>malous behavio</w:t>
      </w:r>
      <w:r w:rsidRPr="008324AE">
        <w:t>r in 2004 when the SSU data streams began to be phased out.  (</w:t>
      </w:r>
      <w:r w:rsidRPr="00BE61F5">
        <w:rPr>
          <w:color w:val="FF0000"/>
        </w:rPr>
        <w:t>Can we clarify: did Interim and JRA-25 abruptly turn off SSU in 1998 with advent of AMSU-A?</w:t>
      </w:r>
      <w:r w:rsidRPr="008324AE">
        <w:t>) This is a complex issue that needs to be addressed in more detail in future reanalyses: it depends on the presence of model biases and the lack of information on vertical structure inherent in the nadir observations available for reanalysis</w:t>
      </w:r>
      <w:r w:rsidR="00EF3496" w:rsidRPr="008324AE">
        <w:t xml:space="preserve">.  </w:t>
      </w:r>
    </w:p>
    <w:p w:rsidR="003A1175" w:rsidRDefault="00EF3496" w:rsidP="003A1175">
      <w:pPr>
        <w:spacing w:after="0"/>
        <w:jc w:val="center"/>
      </w:pPr>
      <w:r>
        <w:t xml:space="preserve">  </w:t>
      </w:r>
      <w:r w:rsidR="003A1175">
        <w:rPr>
          <w:noProof/>
        </w:rPr>
        <w:drawing>
          <wp:inline distT="0" distB="0" distL="0" distR="0">
            <wp:extent cx="3581400" cy="1075267"/>
            <wp:effectExtent l="25400" t="0" r="0" b="0"/>
            <wp:docPr id="7" name="Picture 3" descr="ts-Tg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gm-1.png"/>
                    <pic:cNvPicPr/>
                  </pic:nvPicPr>
                  <pic:blipFill>
                    <a:blip r:embed="rId38"/>
                    <a:srcRect b="10564"/>
                    <a:stretch>
                      <a:fillRect/>
                    </a:stretch>
                  </pic:blipFill>
                  <pic:spPr>
                    <a:xfrm>
                      <a:off x="0" y="0"/>
                      <a:ext cx="3581400" cy="1075267"/>
                    </a:xfrm>
                    <a:prstGeom prst="rect">
                      <a:avLst/>
                    </a:prstGeom>
                  </pic:spPr>
                </pic:pic>
              </a:graphicData>
            </a:graphic>
          </wp:inline>
        </w:drawing>
      </w:r>
    </w:p>
    <w:p w:rsidR="008324AE" w:rsidRDefault="00EF3496" w:rsidP="00EF3496">
      <w:pPr>
        <w:spacing w:after="0"/>
        <w:jc w:val="center"/>
      </w:pPr>
      <w:r>
        <w:t xml:space="preserve">  </w:t>
      </w:r>
      <w:r w:rsidR="003A1175">
        <w:rPr>
          <w:noProof/>
        </w:rPr>
        <w:drawing>
          <wp:inline distT="0" distB="0" distL="0" distR="0">
            <wp:extent cx="3581400" cy="1083734"/>
            <wp:effectExtent l="25400" t="0" r="0" b="0"/>
            <wp:docPr id="18" name="Picture 17" descr="ts-Tg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gm-3.png"/>
                    <pic:cNvPicPr/>
                  </pic:nvPicPr>
                  <pic:blipFill>
                    <a:blip r:embed="rId39"/>
                    <a:srcRect b="9859"/>
                    <a:stretch>
                      <a:fillRect/>
                    </a:stretch>
                  </pic:blipFill>
                  <pic:spPr>
                    <a:xfrm>
                      <a:off x="0" y="0"/>
                      <a:ext cx="3581400" cy="1083734"/>
                    </a:xfrm>
                    <a:prstGeom prst="rect">
                      <a:avLst/>
                    </a:prstGeom>
                  </pic:spPr>
                </pic:pic>
              </a:graphicData>
            </a:graphic>
          </wp:inline>
        </w:drawing>
      </w:r>
    </w:p>
    <w:p w:rsidR="009D41E8" w:rsidRDefault="002C1DCD" w:rsidP="00EF3496">
      <w:pPr>
        <w:spacing w:after="0"/>
        <w:jc w:val="center"/>
      </w:pPr>
      <w:r>
        <w:rPr>
          <w:noProof/>
        </w:rPr>
        <w:drawing>
          <wp:inline distT="0" distB="0" distL="0" distR="0">
            <wp:extent cx="3674533" cy="1083733"/>
            <wp:effectExtent l="0" t="0" r="8467" b="0"/>
            <wp:docPr id="31" name="Picture 22" descr="ts-Tg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gm-5.png"/>
                    <pic:cNvPicPr/>
                  </pic:nvPicPr>
                  <pic:blipFill>
                    <a:blip r:embed="rId40"/>
                    <a:srcRect l="-2601" b="9859"/>
                    <a:stretch>
                      <a:fillRect/>
                    </a:stretch>
                  </pic:blipFill>
                  <pic:spPr>
                    <a:xfrm>
                      <a:off x="0" y="0"/>
                      <a:ext cx="3674533" cy="1083733"/>
                    </a:xfrm>
                    <a:prstGeom prst="rect">
                      <a:avLst/>
                    </a:prstGeom>
                  </pic:spPr>
                </pic:pic>
              </a:graphicData>
            </a:graphic>
          </wp:inline>
        </w:drawing>
      </w:r>
      <w:r w:rsidR="008324AE">
        <w:rPr>
          <w:noProof/>
        </w:rPr>
        <w:drawing>
          <wp:inline distT="0" distB="0" distL="0" distR="0">
            <wp:extent cx="3652520" cy="1176867"/>
            <wp:effectExtent l="25400" t="0" r="5080" b="0"/>
            <wp:docPr id="27" name="Picture 26" descr="ts-Tg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gm-10.png"/>
                    <pic:cNvPicPr/>
                  </pic:nvPicPr>
                  <pic:blipFill>
                    <a:blip r:embed="rId41"/>
                    <a:srcRect b="12026"/>
                    <a:stretch>
                      <a:fillRect/>
                    </a:stretch>
                  </pic:blipFill>
                  <pic:spPr>
                    <a:xfrm>
                      <a:off x="0" y="0"/>
                      <a:ext cx="3652520" cy="1176867"/>
                    </a:xfrm>
                    <a:prstGeom prst="rect">
                      <a:avLst/>
                    </a:prstGeom>
                  </pic:spPr>
                </pic:pic>
              </a:graphicData>
            </a:graphic>
          </wp:inline>
        </w:drawing>
      </w:r>
    </w:p>
    <w:p w:rsidR="00BE61F5" w:rsidRPr="002F2FEB" w:rsidRDefault="00BE61F5" w:rsidP="008324AE">
      <w:pPr>
        <w:pStyle w:val="FigureCaption"/>
        <w:rPr>
          <w:color w:val="FF0000"/>
        </w:rPr>
      </w:pPr>
      <w:r>
        <w:t>Figure 21</w:t>
      </w:r>
      <w:r w:rsidR="008324AE" w:rsidRPr="008324AE">
        <w:t xml:space="preserve">: Global mean temperature anomalies (K) in the middle and upper stratosphere from </w:t>
      </w:r>
      <w:r w:rsidRPr="008324AE">
        <w:t>ERA-40 (blue)</w:t>
      </w:r>
      <w:r>
        <w:t xml:space="preserve">, </w:t>
      </w:r>
      <w:r w:rsidRPr="008324AE">
        <w:t xml:space="preserve">JRA-25 (orange), </w:t>
      </w:r>
      <w:r w:rsidR="008324AE" w:rsidRPr="008324AE">
        <w:t xml:space="preserve">MERRA (green), and ERA-Interim (red).  Data are shown for 1hPa (top), </w:t>
      </w:r>
      <w:r>
        <w:t xml:space="preserve">3hPa, 5hPa and 10hPa (bottom). </w:t>
      </w:r>
      <w:r w:rsidR="008324AE" w:rsidRPr="008324AE">
        <w:t>The anomalies are computed from the mean annual cycle in 1990-1995 for each</w:t>
      </w:r>
      <w:r>
        <w:t xml:space="preserve"> individual analysis. </w:t>
      </w:r>
      <w:r w:rsidR="002F2FEB" w:rsidRPr="002F2FEB">
        <w:rPr>
          <w:color w:val="FF0000"/>
        </w:rPr>
        <w:t>(</w:t>
      </w:r>
      <w:proofErr w:type="spellStart"/>
      <w:r w:rsidR="002F2FEB" w:rsidRPr="002F2FEB">
        <w:rPr>
          <w:color w:val="FF0000"/>
        </w:rPr>
        <w:t>NOTE</w:t>
      </w:r>
      <w:r w:rsidR="002F2FEB">
        <w:rPr>
          <w:color w:val="FF0000"/>
        </w:rPr>
        <w:t>s</w:t>
      </w:r>
      <w:proofErr w:type="spellEnd"/>
      <w:r w:rsidR="002F2FEB" w:rsidRPr="002F2FEB">
        <w:rPr>
          <w:color w:val="FF0000"/>
        </w:rPr>
        <w:t>: Need to check</w:t>
      </w:r>
      <w:r w:rsidR="008324AE" w:rsidRPr="002F2FEB">
        <w:rPr>
          <w:color w:val="FF0000"/>
        </w:rPr>
        <w:t xml:space="preserve"> the peak in Nov 2000 T in MERRA</w:t>
      </w:r>
      <w:r w:rsidR="002F2FEB" w:rsidRPr="002F2FEB">
        <w:rPr>
          <w:color w:val="FF0000"/>
        </w:rPr>
        <w:t>, probably a missing data problem in the averaging.</w:t>
      </w:r>
      <w:r w:rsidR="002F2FEB">
        <w:rPr>
          <w:color w:val="FF0000"/>
        </w:rPr>
        <w:t xml:space="preserve"> </w:t>
      </w:r>
      <w:proofErr w:type="gramStart"/>
      <w:r w:rsidR="002F2FEB">
        <w:rPr>
          <w:color w:val="FF0000"/>
        </w:rPr>
        <w:t>Timing delay in JRA-25 is because of use of old JRA files</w:t>
      </w:r>
      <w:proofErr w:type="gramEnd"/>
      <w:r w:rsidR="002F2FEB">
        <w:rPr>
          <w:color w:val="FF0000"/>
        </w:rPr>
        <w:t xml:space="preserve">, </w:t>
      </w:r>
      <w:proofErr w:type="gramStart"/>
      <w:r w:rsidR="002F2FEB">
        <w:rPr>
          <w:color w:val="FF0000"/>
        </w:rPr>
        <w:t>figure needs to be redone</w:t>
      </w:r>
      <w:proofErr w:type="gramEnd"/>
      <w:r w:rsidR="002F2FEB" w:rsidRPr="002F2FEB">
        <w:rPr>
          <w:color w:val="FF0000"/>
        </w:rPr>
        <w:t>)</w:t>
      </w:r>
    </w:p>
    <w:p w:rsidR="00E21054" w:rsidRDefault="00660B26" w:rsidP="008E7FB5">
      <w:pPr>
        <w:pStyle w:val="Heading1"/>
      </w:pPr>
      <w:r>
        <w:t xml:space="preserve">Planning Future </w:t>
      </w:r>
      <w:r w:rsidR="006D096C">
        <w:t xml:space="preserve">Atmospheric </w:t>
      </w:r>
      <w:r>
        <w:t>Re</w:t>
      </w:r>
      <w:r w:rsidR="00C72500">
        <w:t>a</w:t>
      </w:r>
      <w:r>
        <w:t>nalyses</w:t>
      </w:r>
    </w:p>
    <w:p w:rsidR="004B0996" w:rsidRDefault="004B0996" w:rsidP="00CC155F">
      <w:r>
        <w:t xml:space="preserve">The first generations of reanalyses from NCEP and ECMWF have proven to be extremely valuable scientific tools, enabling climate and weather research not otherwise possible. Their utility stems from the availability of data at regular intervals in time and space, including some variables not easily observed. An important caveat for users, however, is that a reanalysis is not an observation data set, but rather a merged product of model fields and observations.  As such, understanding how errors and uncertainties in both models and observations affect the quality of the reanalysis is crucial for gauging its utility as well as the uncertainty in the reanalysis itself. </w:t>
      </w:r>
    </w:p>
    <w:p w:rsidR="00871A92" w:rsidRDefault="00B36E85" w:rsidP="00CC155F">
      <w:r>
        <w:rPr>
          <w:color w:val="000000" w:themeColor="text1"/>
        </w:rPr>
        <w:t xml:space="preserve">Significant improvements have come from each generation of reanalyses. Both the improvements and many of the remaining deficiencies are apparent in the (extended) time series of global mean precipitation shown in Figure 22.  Most of the improvements have come from the NWP imperative, for which the </w:t>
      </w:r>
      <w:r>
        <w:t>systems will continue to evolve, taking advantage of new data types and improved methodologies</w:t>
      </w:r>
      <w:r>
        <w:rPr>
          <w:color w:val="000000" w:themeColor="text1"/>
        </w:rPr>
        <w:t xml:space="preserve">.  However, the question remains as to what needs to be done for reanalyses, especially to address jumps and trends associated with changes in the observing system </w:t>
      </w:r>
      <w:r w:rsidRPr="00F3031F">
        <w:t>(not inclu</w:t>
      </w:r>
      <w:r>
        <w:t>ding reduced observing systems). Moreover, is it worth undertaking a new reanalysis until the issue of trends can be addressed?</w:t>
      </w:r>
    </w:p>
    <w:p w:rsidR="00871A92" w:rsidRDefault="00871A92" w:rsidP="00871A92">
      <w:pPr>
        <w:spacing w:after="0"/>
        <w:rPr>
          <w:color w:val="FF0000"/>
        </w:rPr>
      </w:pPr>
      <w:r w:rsidRPr="008A0A4E">
        <w:rPr>
          <w:noProof/>
          <w:color w:val="FF0000"/>
        </w:rPr>
        <w:drawing>
          <wp:inline distT="0" distB="0" distL="0" distR="0">
            <wp:extent cx="5864860" cy="3014134"/>
            <wp:effectExtent l="25400" t="0" r="2540" b="0"/>
            <wp:docPr id="53" name="Picture 1" descr="D:\WDir\MERRA\Reanalyses\prects_1979_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Dir\MERRA\Reanalyses\prects_1979_2012.png"/>
                    <pic:cNvPicPr>
                      <a:picLocks noChangeAspect="1" noChangeArrowheads="1"/>
                    </pic:cNvPicPr>
                  </pic:nvPicPr>
                  <pic:blipFill>
                    <a:blip r:embed="rId42" cstate="print"/>
                    <a:srcRect l="3045" t="15337" r="16827" b="42994"/>
                    <a:stretch>
                      <a:fillRect/>
                    </a:stretch>
                  </pic:blipFill>
                  <pic:spPr bwMode="auto">
                    <a:xfrm>
                      <a:off x="0" y="0"/>
                      <a:ext cx="5864860" cy="3014134"/>
                    </a:xfrm>
                    <a:prstGeom prst="rect">
                      <a:avLst/>
                    </a:prstGeom>
                    <a:noFill/>
                    <a:ln w="9525">
                      <a:noFill/>
                      <a:miter lim="800000"/>
                      <a:headEnd/>
                      <a:tailEnd/>
                    </a:ln>
                  </pic:spPr>
                </pic:pic>
              </a:graphicData>
            </a:graphic>
          </wp:inline>
        </w:drawing>
      </w:r>
    </w:p>
    <w:p w:rsidR="00C95541" w:rsidRDefault="00871A92" w:rsidP="00871A92">
      <w:pPr>
        <w:pStyle w:val="FigureCaption"/>
        <w:ind w:left="810"/>
        <w:jc w:val="left"/>
      </w:pPr>
      <w:r>
        <w:t xml:space="preserve">Figure 22: Global mean precipitation (mm/day) for the available reanalyses compared against two observational data sets, GPCP and CMAP. </w:t>
      </w:r>
    </w:p>
    <w:p w:rsidR="00C95541" w:rsidRDefault="00C95541" w:rsidP="00C95541">
      <w:pPr>
        <w:rPr>
          <w:color w:val="000000" w:themeColor="text1"/>
        </w:rPr>
      </w:pPr>
      <w:r>
        <w:t>While agreeing that addressing the issue of artificial trends associated with the changing observing system is a top priority, workshop participants concluded that continuing to update reanalyses is still useful:</w:t>
      </w:r>
    </w:p>
    <w:p w:rsidR="00C95541" w:rsidRPr="00C95541" w:rsidRDefault="00C95541" w:rsidP="00C95541">
      <w:pPr>
        <w:pStyle w:val="ListParagraph"/>
        <w:numPr>
          <w:ilvl w:val="0"/>
          <w:numId w:val="19"/>
        </w:numPr>
        <w:tabs>
          <w:tab w:val="clear" w:pos="1440"/>
          <w:tab w:val="num" w:pos="990"/>
        </w:tabs>
        <w:rPr>
          <w:color w:val="000000" w:themeColor="text1"/>
        </w:rPr>
      </w:pPr>
      <w:r w:rsidRPr="00C95541">
        <w:rPr>
          <w:color w:val="000000" w:themeColor="text1"/>
        </w:rPr>
        <w:t xml:space="preserve">To include improvements in data, using </w:t>
      </w:r>
      <w:r>
        <w:rPr>
          <w:color w:val="000000" w:themeColor="text1"/>
        </w:rPr>
        <w:t>unused data (cloudy radiances, etc</w:t>
      </w:r>
      <w:r w:rsidRPr="00C95541">
        <w:rPr>
          <w:color w:val="000000" w:themeColor="text1"/>
        </w:rPr>
        <w:t>)</w:t>
      </w:r>
    </w:p>
    <w:p w:rsidR="00C95541" w:rsidRPr="00C95541" w:rsidRDefault="00C95541" w:rsidP="00C95541">
      <w:pPr>
        <w:pStyle w:val="ListParagraph"/>
        <w:numPr>
          <w:ilvl w:val="0"/>
          <w:numId w:val="19"/>
        </w:numPr>
        <w:tabs>
          <w:tab w:val="clear" w:pos="1440"/>
          <w:tab w:val="num" w:pos="990"/>
        </w:tabs>
        <w:rPr>
          <w:color w:val="000000" w:themeColor="text1"/>
        </w:rPr>
      </w:pPr>
      <w:r>
        <w:rPr>
          <w:color w:val="000000" w:themeColor="text1"/>
        </w:rPr>
        <w:t>To include i</w:t>
      </w:r>
      <w:r w:rsidRPr="00C95541">
        <w:rPr>
          <w:color w:val="000000" w:themeColor="text1"/>
        </w:rPr>
        <w:t>mprovements in models (</w:t>
      </w:r>
      <w:r>
        <w:rPr>
          <w:color w:val="000000" w:themeColor="text1"/>
        </w:rPr>
        <w:t xml:space="preserve">e.g., </w:t>
      </w:r>
      <w:r w:rsidRPr="00C95541">
        <w:rPr>
          <w:color w:val="000000" w:themeColor="text1"/>
        </w:rPr>
        <w:t>reduced biases with resolution)</w:t>
      </w:r>
    </w:p>
    <w:p w:rsidR="00C95541" w:rsidRPr="00C95541" w:rsidRDefault="00C95541" w:rsidP="00C95541">
      <w:pPr>
        <w:pStyle w:val="ListParagraph"/>
        <w:numPr>
          <w:ilvl w:val="0"/>
          <w:numId w:val="19"/>
        </w:numPr>
        <w:tabs>
          <w:tab w:val="clear" w:pos="1440"/>
          <w:tab w:val="num" w:pos="990"/>
        </w:tabs>
        <w:rPr>
          <w:color w:val="000000" w:themeColor="text1"/>
        </w:rPr>
      </w:pPr>
      <w:r>
        <w:rPr>
          <w:color w:val="000000" w:themeColor="text1"/>
        </w:rPr>
        <w:t>As we develop the implementations</w:t>
      </w:r>
      <w:r w:rsidRPr="00C95541">
        <w:rPr>
          <w:color w:val="000000" w:themeColor="text1"/>
        </w:rPr>
        <w:t xml:space="preserve"> to </w:t>
      </w:r>
      <w:r>
        <w:rPr>
          <w:color w:val="000000" w:themeColor="text1"/>
        </w:rPr>
        <w:t xml:space="preserve">help </w:t>
      </w:r>
      <w:r w:rsidRPr="00C95541">
        <w:rPr>
          <w:color w:val="000000" w:themeColor="text1"/>
        </w:rPr>
        <w:t xml:space="preserve">deal with </w:t>
      </w:r>
      <w:r>
        <w:rPr>
          <w:color w:val="000000" w:themeColor="text1"/>
        </w:rPr>
        <w:t xml:space="preserve">the </w:t>
      </w:r>
      <w:r w:rsidRPr="00C95541">
        <w:rPr>
          <w:color w:val="000000" w:themeColor="text1"/>
        </w:rPr>
        <w:t>changing observing system (</w:t>
      </w:r>
      <w:r>
        <w:rPr>
          <w:color w:val="000000" w:themeColor="text1"/>
        </w:rPr>
        <w:t>e.g., changing B with the observing system)</w:t>
      </w:r>
    </w:p>
    <w:p w:rsidR="00C95541" w:rsidRPr="00C95541" w:rsidRDefault="00C95541" w:rsidP="00C95541">
      <w:pPr>
        <w:pStyle w:val="ListParagraph"/>
        <w:numPr>
          <w:ilvl w:val="0"/>
          <w:numId w:val="19"/>
        </w:numPr>
        <w:tabs>
          <w:tab w:val="clear" w:pos="1440"/>
          <w:tab w:val="num" w:pos="990"/>
        </w:tabs>
        <w:rPr>
          <w:color w:val="000000" w:themeColor="text1"/>
        </w:rPr>
      </w:pPr>
      <w:r>
        <w:rPr>
          <w:color w:val="000000" w:themeColor="text1"/>
        </w:rPr>
        <w:t>To provide fields needed</w:t>
      </w:r>
      <w:r w:rsidRPr="00C95541">
        <w:rPr>
          <w:color w:val="000000" w:themeColor="text1"/>
        </w:rPr>
        <w:t xml:space="preserve"> for </w:t>
      </w:r>
      <w:r>
        <w:rPr>
          <w:color w:val="000000" w:themeColor="text1"/>
        </w:rPr>
        <w:t>historical re-forecasts for short-term climate</w:t>
      </w:r>
    </w:p>
    <w:p w:rsidR="00CC155F" w:rsidRPr="0061693A" w:rsidRDefault="00C95541" w:rsidP="00CC155F">
      <w:pPr>
        <w:pStyle w:val="ListParagraph"/>
        <w:numPr>
          <w:ilvl w:val="0"/>
          <w:numId w:val="19"/>
        </w:numPr>
        <w:tabs>
          <w:tab w:val="clear" w:pos="1440"/>
          <w:tab w:val="num" w:pos="990"/>
        </w:tabs>
        <w:rPr>
          <w:color w:val="000000" w:themeColor="text1"/>
        </w:rPr>
      </w:pPr>
      <w:r>
        <w:rPr>
          <w:color w:val="000000" w:themeColor="text1"/>
        </w:rPr>
        <w:t>To</w:t>
      </w:r>
      <w:r w:rsidRPr="00C95541">
        <w:rPr>
          <w:color w:val="000000" w:themeColor="text1"/>
        </w:rPr>
        <w:t xml:space="preserve"> </w:t>
      </w:r>
      <w:r w:rsidR="00586B42">
        <w:rPr>
          <w:color w:val="000000" w:themeColor="text1"/>
        </w:rPr>
        <w:t xml:space="preserve">make </w:t>
      </w:r>
      <w:r w:rsidR="0061693A">
        <w:rPr>
          <w:color w:val="000000" w:themeColor="text1"/>
        </w:rPr>
        <w:t xml:space="preserve">still further </w:t>
      </w:r>
      <w:r w:rsidRPr="00C95541">
        <w:rPr>
          <w:color w:val="000000" w:themeColor="text1"/>
        </w:rPr>
        <w:t xml:space="preserve">major improvements in </w:t>
      </w:r>
      <w:r w:rsidR="00586B42">
        <w:rPr>
          <w:color w:val="000000" w:themeColor="text1"/>
        </w:rPr>
        <w:t>the water and energy cycle budgets.</w:t>
      </w:r>
    </w:p>
    <w:p w:rsidR="00586B42" w:rsidRDefault="00586B42" w:rsidP="00586B42">
      <w:r>
        <w:t>The main issues to be addressed for the next generation reanalyses were identified as:</w:t>
      </w:r>
    </w:p>
    <w:p w:rsidR="00586B42" w:rsidRDefault="00586B42" w:rsidP="00586B42">
      <w:pPr>
        <w:pStyle w:val="ListParagraph"/>
        <w:numPr>
          <w:ilvl w:val="0"/>
          <w:numId w:val="20"/>
        </w:numPr>
        <w:tabs>
          <w:tab w:val="clear" w:pos="1440"/>
          <w:tab w:val="num" w:pos="990"/>
        </w:tabs>
      </w:pPr>
      <w:r>
        <w:t>Improving the hydrological cycle</w:t>
      </w:r>
    </w:p>
    <w:p w:rsidR="0010261B" w:rsidRDefault="00586B42" w:rsidP="00586B42">
      <w:pPr>
        <w:pStyle w:val="ListParagraph"/>
        <w:numPr>
          <w:ilvl w:val="0"/>
          <w:numId w:val="20"/>
        </w:numPr>
        <w:tabs>
          <w:tab w:val="clear" w:pos="1440"/>
          <w:tab w:val="num" w:pos="990"/>
        </w:tabs>
      </w:pPr>
      <w:r>
        <w:t xml:space="preserve">Improving the </w:t>
      </w:r>
      <w:r w:rsidR="0010261B">
        <w:t xml:space="preserve">quality of the reanalyses in the </w:t>
      </w:r>
      <w:r>
        <w:t>stratosphere</w:t>
      </w:r>
    </w:p>
    <w:p w:rsidR="00586B42" w:rsidRDefault="0010261B" w:rsidP="00586B42">
      <w:pPr>
        <w:pStyle w:val="ListParagraph"/>
        <w:numPr>
          <w:ilvl w:val="0"/>
          <w:numId w:val="20"/>
        </w:numPr>
        <w:tabs>
          <w:tab w:val="clear" w:pos="1440"/>
          <w:tab w:val="num" w:pos="990"/>
        </w:tabs>
        <w:spacing w:after="0"/>
      </w:pPr>
      <w:r>
        <w:t>Improving quality of the reanalyses over the polar regions</w:t>
      </w:r>
    </w:p>
    <w:p w:rsidR="00586B42" w:rsidRDefault="00586B42" w:rsidP="00586B42">
      <w:pPr>
        <w:pStyle w:val="ListParagraph"/>
        <w:numPr>
          <w:ilvl w:val="0"/>
          <w:numId w:val="20"/>
        </w:numPr>
        <w:tabs>
          <w:tab w:val="clear" w:pos="1440"/>
          <w:tab w:val="num" w:pos="990"/>
        </w:tabs>
      </w:pPr>
      <w:r>
        <w:t>Improving estimates of uncertainty</w:t>
      </w:r>
    </w:p>
    <w:p w:rsidR="002A4F68" w:rsidRDefault="00586B42" w:rsidP="00586B42">
      <w:pPr>
        <w:pStyle w:val="ListParagraph"/>
        <w:numPr>
          <w:ilvl w:val="0"/>
          <w:numId w:val="20"/>
        </w:numPr>
        <w:tabs>
          <w:tab w:val="clear" w:pos="1440"/>
          <w:tab w:val="num" w:pos="990"/>
        </w:tabs>
      </w:pPr>
      <w:r>
        <w:t>Reducing spurious trends and jumps</w:t>
      </w:r>
    </w:p>
    <w:p w:rsidR="00586B42" w:rsidRDefault="002A4F68" w:rsidP="0010261B">
      <w:pPr>
        <w:pStyle w:val="ListParagraph"/>
        <w:numPr>
          <w:ilvl w:val="0"/>
          <w:numId w:val="20"/>
        </w:numPr>
        <w:tabs>
          <w:tab w:val="clear" w:pos="1440"/>
          <w:tab w:val="num" w:pos="990"/>
        </w:tabs>
      </w:pPr>
      <w:r>
        <w:t>Reducing the size of the analysis increments</w:t>
      </w:r>
    </w:p>
    <w:p w:rsidR="00257A65" w:rsidRDefault="00EB6300" w:rsidP="0022150C">
      <w:pPr>
        <w:pStyle w:val="Heading2"/>
      </w:pPr>
      <w:r>
        <w:t>Model</w:t>
      </w:r>
    </w:p>
    <w:p w:rsidR="00257A65" w:rsidRPr="00257A65" w:rsidRDefault="00871A92" w:rsidP="00257A65">
      <w:r>
        <w:t>As seen in Figure 18</w:t>
      </w:r>
      <w:r w:rsidR="00F849C7">
        <w:t xml:space="preserve">, the “responses” to observing system changes are very different among the different reanalyses.  Is this analysis system or </w:t>
      </w:r>
      <w:r w:rsidR="00586B42">
        <w:t>model-dependent?</w:t>
      </w:r>
      <w:r w:rsidR="00F849C7">
        <w:t xml:space="preserve"> What is clear is that correcting model biases will be an important element of reducing both the size of analysis increments and also reducing spurious trends and jumps associated with changes in the input data streams.</w:t>
      </w:r>
    </w:p>
    <w:p w:rsidR="00E8601F" w:rsidRDefault="00E8601F" w:rsidP="0022150C">
      <w:pPr>
        <w:pStyle w:val="Heading2"/>
      </w:pPr>
      <w:r>
        <w:t xml:space="preserve">Assimilation System </w:t>
      </w:r>
    </w:p>
    <w:p w:rsidR="00B37770" w:rsidRDefault="00FA329B" w:rsidP="005E22FB">
      <w:r>
        <w:t>A</w:t>
      </w:r>
      <w:r w:rsidR="00E735BD">
        <w:t xml:space="preserve">ccounting </w:t>
      </w:r>
      <w:r w:rsidR="000B7C0F">
        <w:t xml:space="preserve">for </w:t>
      </w:r>
      <w:r w:rsidR="00E735BD">
        <w:t xml:space="preserve">changes in the observing system </w:t>
      </w:r>
      <w:r w:rsidR="000B7C0F">
        <w:t xml:space="preserve">over time </w:t>
      </w:r>
      <w:r w:rsidR="005A5082">
        <w:t xml:space="preserve">is </w:t>
      </w:r>
      <w:r>
        <w:t xml:space="preserve">a major challenge </w:t>
      </w:r>
      <w:r w:rsidR="000B7C0F">
        <w:t>for data assimilatio</w:t>
      </w:r>
      <w:r>
        <w:t>n</w:t>
      </w:r>
      <w:r w:rsidR="00A5730F">
        <w:t xml:space="preserve"> in the conte</w:t>
      </w:r>
      <w:r w:rsidR="006C4B33">
        <w:t>xt of reanalysis, and one that is likely to increase in significance as reanalyses are extended over many decades, and even centuries.</w:t>
      </w:r>
      <w:r w:rsidR="002A4F68">
        <w:t xml:space="preserve"> </w:t>
      </w:r>
      <w:r w:rsidR="00BC5713">
        <w:t xml:space="preserve">While improved models will likely reduce the </w:t>
      </w:r>
      <w:r w:rsidR="005C478E">
        <w:t xml:space="preserve">(often </w:t>
      </w:r>
      <w:r w:rsidR="00F44C1B">
        <w:t>deleterious</w:t>
      </w:r>
      <w:r w:rsidR="005C478E">
        <w:t>)</w:t>
      </w:r>
      <w:r w:rsidR="00F44C1B">
        <w:t xml:space="preserve"> effects of observing system </w:t>
      </w:r>
      <w:r w:rsidR="000524C3">
        <w:t xml:space="preserve">changes on </w:t>
      </w:r>
      <w:r w:rsidR="005C478E">
        <w:t>reanalysis quality and consistency</w:t>
      </w:r>
      <w:r w:rsidR="00457BA6">
        <w:t xml:space="preserve">, </w:t>
      </w:r>
      <w:r w:rsidR="00B61409">
        <w:t>data assimilation</w:t>
      </w:r>
      <w:r w:rsidR="00BC4956">
        <w:t xml:space="preserve"> systems </w:t>
      </w:r>
      <w:r w:rsidR="00761CA1">
        <w:t xml:space="preserve">still must be adapted to </w:t>
      </w:r>
      <w:r w:rsidR="00B61409">
        <w:t>re</w:t>
      </w:r>
      <w:r w:rsidR="00BC4956">
        <w:t xml:space="preserve">flect </w:t>
      </w:r>
      <w:r w:rsidR="00F44C1B">
        <w:t xml:space="preserve">these changes </w:t>
      </w:r>
      <w:r w:rsidR="0073475C">
        <w:t xml:space="preserve">in terms of the expected </w:t>
      </w:r>
      <w:r w:rsidR="00B61409">
        <w:t>accuracy of</w:t>
      </w:r>
      <w:r w:rsidR="00BC4956">
        <w:t xml:space="preserve"> </w:t>
      </w:r>
      <w:r w:rsidR="00F44C1B">
        <w:t>the background</w:t>
      </w:r>
      <w:r w:rsidR="00FB4BD2">
        <w:t xml:space="preserve"> forecast</w:t>
      </w:r>
      <w:r w:rsidR="00F44C1B">
        <w:t>.</w:t>
      </w:r>
      <w:r w:rsidR="00BC4956">
        <w:t xml:space="preserve"> </w:t>
      </w:r>
      <w:r w:rsidR="00FB4BD2">
        <w:t xml:space="preserve">For example, it is </w:t>
      </w:r>
      <w:r w:rsidR="00E464A5">
        <w:t xml:space="preserve">well known </w:t>
      </w:r>
      <w:r w:rsidR="00FB4BD2">
        <w:t>that the quality of an analysis produced with a sparse observing system is highly sensitive to the specification of the</w:t>
      </w:r>
      <w:r w:rsidR="002A4F68">
        <w:t xml:space="preserve"> background error covariances. </w:t>
      </w:r>
      <w:r w:rsidR="004B3B9C">
        <w:t>As noted in section 2, ensemble-based data ass</w:t>
      </w:r>
      <w:r w:rsidR="00121638">
        <w:t>imilation systems provide a uniq</w:t>
      </w:r>
      <w:r w:rsidR="002A4F68">
        <w:t xml:space="preserve">ue capability in this regard. </w:t>
      </w:r>
      <w:r w:rsidR="00E546A7">
        <w:t>However, since most centers involved in generating the current- (and, presumably, next-) generation reanalyses</w:t>
      </w:r>
      <w:r w:rsidR="00B66BA5">
        <w:t xml:space="preserve"> </w:t>
      </w:r>
      <w:r w:rsidR="000428FB">
        <w:t xml:space="preserve">will </w:t>
      </w:r>
      <w:r w:rsidR="00E546A7">
        <w:t xml:space="preserve">likely </w:t>
      </w:r>
      <w:r w:rsidR="000428FB">
        <w:t>continue</w:t>
      </w:r>
      <w:r w:rsidR="00E546A7">
        <w:t xml:space="preserve"> run</w:t>
      </w:r>
      <w:r w:rsidR="00B66BA5">
        <w:t>ning</w:t>
      </w:r>
      <w:r w:rsidR="00E546A7">
        <w:t xml:space="preserve"> </w:t>
      </w:r>
      <w:r w:rsidR="000428FB">
        <w:t xml:space="preserve">some form of </w:t>
      </w:r>
      <w:r w:rsidR="007F2982">
        <w:t>variation</w:t>
      </w:r>
      <w:r w:rsidR="0022150C">
        <w:t>al</w:t>
      </w:r>
      <w:r w:rsidR="007F2982">
        <w:t xml:space="preserve"> </w:t>
      </w:r>
      <w:r w:rsidR="000428FB">
        <w:t>scheme</w:t>
      </w:r>
      <w:r w:rsidR="008F7D70">
        <w:t xml:space="preserve">, </w:t>
      </w:r>
      <w:r w:rsidR="000428FB">
        <w:t xml:space="preserve">strategies for adapting the background error covariances in these systems should </w:t>
      </w:r>
      <w:r w:rsidR="007F2982">
        <w:t>be considered</w:t>
      </w:r>
      <w:r w:rsidR="000428FB">
        <w:t>.</w:t>
      </w:r>
    </w:p>
    <w:p w:rsidR="000428FB" w:rsidRDefault="005340C7" w:rsidP="005E22FB">
      <w:r>
        <w:t>NCEP, GMAO and ECMWF are developing hybrid variational schemes in which the background error covariances are augmented or replaced by information produced by an ensemble system running</w:t>
      </w:r>
      <w:r w:rsidR="002A4F68">
        <w:t xml:space="preserve"> in some tandem configuration. </w:t>
      </w:r>
      <w:r w:rsidR="00667000">
        <w:t>The potential benefits of such systems for NWP have already been demonstrated (e.g.,</w:t>
      </w:r>
      <w:r w:rsidR="00E8601F">
        <w:t xml:space="preserve"> </w:t>
      </w:r>
      <w:proofErr w:type="spellStart"/>
      <w:r w:rsidR="00667000">
        <w:t>Buehner</w:t>
      </w:r>
      <w:proofErr w:type="spellEnd"/>
      <w:r w:rsidR="00667000">
        <w:t xml:space="preserve"> et al.</w:t>
      </w:r>
      <w:r w:rsidR="0022150C">
        <w:t>,</w:t>
      </w:r>
      <w:r w:rsidR="00667000">
        <w:t xml:space="preserve"> 2010a,</w:t>
      </w:r>
      <w:r w:rsidR="0070241F">
        <w:t xml:space="preserve"> </w:t>
      </w:r>
      <w:r w:rsidR="00667000">
        <w:t xml:space="preserve">b), but it remains to be seen whether </w:t>
      </w:r>
      <w:r w:rsidR="00625EF4">
        <w:t xml:space="preserve">such schemes are in regular use </w:t>
      </w:r>
      <w:r w:rsidR="00667000">
        <w:t>by the time the next-generation reanalysis</w:t>
      </w:r>
      <w:r w:rsidR="004B2A35">
        <w:t xml:space="preserve"> are produced</w:t>
      </w:r>
      <w:r w:rsidR="00667000">
        <w:t xml:space="preserve">.  </w:t>
      </w:r>
      <w:r w:rsidR="004B2A35">
        <w:t xml:space="preserve">In the meantime, the JMA has begun its JRA-55 reanalysis using a traditional 4D-Var scheme, but with a simple inflation factor applied to the background error variances during the pre-satellite era.  </w:t>
      </w:r>
      <w:r w:rsidR="000A553E">
        <w:t xml:space="preserve">Pre-production tests have shown modest, but noticeable, </w:t>
      </w:r>
      <w:r w:rsidR="00A04B12">
        <w:t>positive impacts</w:t>
      </w:r>
      <w:r w:rsidR="000A553E">
        <w:t xml:space="preserve"> </w:t>
      </w:r>
      <w:r w:rsidR="00A04B12">
        <w:t>with this technique</w:t>
      </w:r>
      <w:r w:rsidR="000A553E">
        <w:t xml:space="preserve"> in</w:t>
      </w:r>
      <w:r w:rsidR="00A04B12">
        <w:t xml:space="preserve"> terms of fits-to-observations, upper-air analysis errors and forecast skill</w:t>
      </w:r>
      <w:r w:rsidR="00872C1F">
        <w:t xml:space="preserve"> </w:t>
      </w:r>
      <w:r w:rsidR="00872C1F" w:rsidRPr="002A4F68">
        <w:rPr>
          <w:color w:val="FF0000"/>
        </w:rPr>
        <w:t>(</w:t>
      </w:r>
      <w:proofErr w:type="gramStart"/>
      <w:r w:rsidR="00872C1F" w:rsidRPr="002A4F68">
        <w:rPr>
          <w:color w:val="FF0000"/>
        </w:rPr>
        <w:t>..</w:t>
      </w:r>
      <w:proofErr w:type="gramEnd"/>
      <w:r w:rsidR="00872C1F" w:rsidRPr="002A4F68">
        <w:rPr>
          <w:color w:val="FF0000"/>
        </w:rPr>
        <w:t>Kobayashi talk at WMODA5, or other reference</w:t>
      </w:r>
      <w:proofErr w:type="gramStart"/>
      <w:r w:rsidR="00872C1F" w:rsidRPr="002A4F68">
        <w:rPr>
          <w:color w:val="FF0000"/>
        </w:rPr>
        <w:t>..</w:t>
      </w:r>
      <w:proofErr w:type="gramEnd"/>
      <w:r w:rsidR="00872C1F" w:rsidRPr="002A4F68">
        <w:rPr>
          <w:color w:val="FF0000"/>
        </w:rPr>
        <w:t>)</w:t>
      </w:r>
      <w:r w:rsidR="00A04B12" w:rsidRPr="002A4F68">
        <w:rPr>
          <w:color w:val="FF0000"/>
        </w:rPr>
        <w:t>.</w:t>
      </w:r>
      <w:r w:rsidR="00A04B12">
        <w:t xml:space="preserve">   </w:t>
      </w:r>
    </w:p>
    <w:p w:rsidR="0086434C" w:rsidRDefault="002030C4" w:rsidP="0086434C">
      <w:r>
        <w:t xml:space="preserve">The effects of model error can also be accounted for </w:t>
      </w:r>
      <w:r w:rsidR="0022150C">
        <w:t>(</w:t>
      </w:r>
      <w:r>
        <w:t>to varying degrees</w:t>
      </w:r>
      <w:r w:rsidR="0022150C">
        <w:t>)</w:t>
      </w:r>
      <w:r>
        <w:t xml:space="preserve"> within the context of </w:t>
      </w:r>
      <w:r w:rsidR="002A4F68">
        <w:t xml:space="preserve">the data assimilation scheme. </w:t>
      </w:r>
      <w:r w:rsidR="00AD5051">
        <w:t xml:space="preserve">The GMAO has </w:t>
      </w:r>
      <w:r w:rsidR="00967598">
        <w:t xml:space="preserve">experimented with a variational model bias correction </w:t>
      </w:r>
      <w:r w:rsidR="0086434C">
        <w:t xml:space="preserve">scheme run as part of the minimization—analogous to the variational observation bias correction scheme discussed in section 2—as well as with the application of </w:t>
      </w:r>
      <w:r w:rsidR="0081513E">
        <w:t xml:space="preserve">time-averaged or slowly varying </w:t>
      </w:r>
      <w:r w:rsidR="0086434C">
        <w:t xml:space="preserve">bias estimates </w:t>
      </w:r>
      <w:r w:rsidR="0022150C">
        <w:t>(</w:t>
      </w:r>
      <w:r w:rsidR="00C0731D">
        <w:t xml:space="preserve">produced by </w:t>
      </w:r>
      <w:r w:rsidR="0081513E">
        <w:t>this scheme</w:t>
      </w:r>
      <w:r w:rsidR="00A95FF6">
        <w:t xml:space="preserve"> beforehand</w:t>
      </w:r>
      <w:r w:rsidR="0022150C">
        <w:t>)</w:t>
      </w:r>
      <w:r w:rsidR="0081513E">
        <w:t xml:space="preserve"> </w:t>
      </w:r>
      <w:r w:rsidR="000162E7">
        <w:t xml:space="preserve">as </w:t>
      </w:r>
      <w:r w:rsidR="00F41CEA">
        <w:t xml:space="preserve">a </w:t>
      </w:r>
      <w:r w:rsidR="000162E7">
        <w:t>forcing term in the model</w:t>
      </w:r>
      <w:r w:rsidR="0022150C">
        <w:t xml:space="preserve"> equations (analogous to IAU). </w:t>
      </w:r>
      <w:r w:rsidR="00EA0A91">
        <w:t>Neither approach has produced consistently beneficial results so far, but will likely be re-examined as part of the development effort for the follow</w:t>
      </w:r>
      <w:r w:rsidR="00DB4AC9">
        <w:t>-o</w:t>
      </w:r>
      <w:r w:rsidR="00EA0A91">
        <w:t xml:space="preserve">n to MERRA.  </w:t>
      </w:r>
    </w:p>
    <w:p w:rsidR="002A4F68" w:rsidRDefault="00A94EC9" w:rsidP="005E22FB">
      <w:r>
        <w:t xml:space="preserve">Ultimately, a weak-constraint formulation, in which </w:t>
      </w:r>
      <w:r w:rsidR="0037136B">
        <w:t xml:space="preserve">a </w:t>
      </w:r>
      <w:r>
        <w:t xml:space="preserve">model </w:t>
      </w:r>
      <w:r w:rsidR="0037136B">
        <w:t xml:space="preserve">error term is added to </w:t>
      </w:r>
      <w:r w:rsidR="00870B70">
        <w:t xml:space="preserve">the analysis cost function, </w:t>
      </w:r>
      <w:r w:rsidR="00E0687F">
        <w:t>must be employed to produce an optimal analysis.</w:t>
      </w:r>
      <w:r w:rsidR="00E7052B">
        <w:t xml:space="preserve">  </w:t>
      </w:r>
      <w:r w:rsidR="00214147">
        <w:t xml:space="preserve">However, specification of the required model error covariance operator (required </w:t>
      </w:r>
      <w:r w:rsidR="002A4F68">
        <w:t>in the context of 4D-Var)</w:t>
      </w:r>
      <w:r w:rsidR="00AE3803">
        <w:t xml:space="preserve"> </w:t>
      </w:r>
      <w:r w:rsidR="00214147">
        <w:t>remains a significant st</w:t>
      </w:r>
      <w:r w:rsidR="002A4F68">
        <w:t>umbling block.</w:t>
      </w:r>
      <w:r w:rsidR="0022150C">
        <w:t xml:space="preserve"> </w:t>
      </w:r>
      <w:r w:rsidR="00A02EFA">
        <w:t>ECMWF has experimented with several weak-constraint configurations</w:t>
      </w:r>
      <w:r w:rsidR="001C5052">
        <w:t>,</w:t>
      </w:r>
      <w:r w:rsidR="00A02EFA">
        <w:t xml:space="preserve"> representing various lev</w:t>
      </w:r>
      <w:r w:rsidR="001C5052">
        <w:t xml:space="preserve">els of approximation to the full four-dimensional problem.  </w:t>
      </w:r>
      <w:r w:rsidR="00D4121C">
        <w:t xml:space="preserve">A </w:t>
      </w:r>
      <w:r w:rsidR="00FD4E63">
        <w:t xml:space="preserve">version of </w:t>
      </w:r>
      <w:r w:rsidR="00D4121C">
        <w:t xml:space="preserve">weak constraint </w:t>
      </w:r>
      <w:r w:rsidR="00FD4E63">
        <w:t xml:space="preserve">4D-Var applied to the stratosphere </w:t>
      </w:r>
      <w:r w:rsidR="00205C88">
        <w:t xml:space="preserve">(without model error cycling) has been running operationally at ECMWF </w:t>
      </w:r>
      <w:r w:rsidR="00CA1F0C">
        <w:t xml:space="preserve">since late 2009 </w:t>
      </w:r>
      <w:r w:rsidR="00CA1F0C" w:rsidRPr="00951148">
        <w:rPr>
          <w:color w:val="000000" w:themeColor="text1"/>
        </w:rPr>
        <w:t>(</w:t>
      </w:r>
      <w:r w:rsidR="00951148" w:rsidRPr="00951148">
        <w:rPr>
          <w:color w:val="000000" w:themeColor="text1"/>
        </w:rPr>
        <w:t xml:space="preserve">e.g., </w:t>
      </w:r>
      <w:proofErr w:type="spellStart"/>
      <w:r w:rsidR="00951148" w:rsidRPr="00951148">
        <w:rPr>
          <w:color w:val="000000" w:themeColor="text1"/>
        </w:rPr>
        <w:t>Tr</w:t>
      </w:r>
      <w:r w:rsidR="00C55D51">
        <w:rPr>
          <w:color w:val="000000" w:themeColor="text1"/>
        </w:rPr>
        <w:t>é</w:t>
      </w:r>
      <w:r w:rsidR="00951148" w:rsidRPr="00951148">
        <w:rPr>
          <w:color w:val="000000" w:themeColor="text1"/>
        </w:rPr>
        <w:t>molet</w:t>
      </w:r>
      <w:proofErr w:type="spellEnd"/>
      <w:r w:rsidR="00951148" w:rsidRPr="00951148">
        <w:rPr>
          <w:color w:val="000000" w:themeColor="text1"/>
        </w:rPr>
        <w:t>, 2006)</w:t>
      </w:r>
      <w:r w:rsidR="00CA1F0C">
        <w:t xml:space="preserve"> and it is expected that </w:t>
      </w:r>
      <w:r w:rsidR="00B36E85">
        <w:t xml:space="preserve">the next reanalysis produced by ECMWF </w:t>
      </w:r>
      <w:r w:rsidR="00CA1F0C">
        <w:t>will be run with some form of weak-constraint 4D-Var.</w:t>
      </w:r>
      <w:r w:rsidR="00132780">
        <w:t xml:space="preserve">  The 4D-Var system</w:t>
      </w:r>
      <w:r w:rsidR="00A1775D">
        <w:t>s</w:t>
      </w:r>
      <w:r w:rsidR="00132780">
        <w:t xml:space="preserve"> under development at GMAO and NCEP are also </w:t>
      </w:r>
      <w:r w:rsidR="00A1775D">
        <w:t>weak-constraint capable, but have undergone only limited testing to date.</w:t>
      </w:r>
    </w:p>
    <w:p w:rsidR="007F200C" w:rsidRDefault="002A4F68" w:rsidP="005E22FB">
      <w:pPr>
        <w:rPr>
          <w:color w:val="FF0000"/>
        </w:rPr>
      </w:pPr>
      <w:r w:rsidRPr="002A4F68">
        <w:rPr>
          <w:color w:val="FF0000"/>
        </w:rPr>
        <w:t>How do we make a reliable measure of uncertainty? Analysis differences?</w:t>
      </w:r>
    </w:p>
    <w:p w:rsidR="00294A76" w:rsidRPr="008A4DC5" w:rsidRDefault="008324AE" w:rsidP="005E22FB">
      <w:pPr>
        <w:rPr>
          <w:color w:val="FF0000"/>
        </w:rPr>
      </w:pPr>
      <w:r>
        <w:rPr>
          <w:color w:val="FF0000"/>
        </w:rPr>
        <w:t>Gil: something on 20CR ensembles providing</w:t>
      </w:r>
      <w:r w:rsidR="007F200C">
        <w:rPr>
          <w:color w:val="FF0000"/>
        </w:rPr>
        <w:t xml:space="preserve"> one measure of uncertainty.</w:t>
      </w:r>
    </w:p>
    <w:p w:rsidR="00D63051" w:rsidRDefault="00D63051" w:rsidP="008A4DC5">
      <w:pPr>
        <w:pStyle w:val="Heading2"/>
      </w:pPr>
      <w:r>
        <w:t>Observations</w:t>
      </w:r>
      <w:r w:rsidR="002A4F68">
        <w:t xml:space="preserve"> </w:t>
      </w:r>
    </w:p>
    <w:p w:rsidR="008A4DC5" w:rsidRDefault="008A6401" w:rsidP="00EF3496">
      <w:r>
        <w:t xml:space="preserve">Just as source codes for models and data assimilation systems are version-controlled so that changes are traceable, so too is it important to track the quality and release history of observation </w:t>
      </w:r>
      <w:r w:rsidR="00C30995">
        <w:t xml:space="preserve">data sets used for reanalysis. </w:t>
      </w:r>
      <w:r>
        <w:t xml:space="preserve">The need for this capability is likely to increase as the number and types of </w:t>
      </w:r>
      <w:r w:rsidR="00C30995">
        <w:t>available observations increase</w:t>
      </w:r>
      <w:r>
        <w:t xml:space="preserve"> and as existing data sets are reprocessed to improve their quality and information content.  For example, the Global Space-Based Inter-Calibration System (GSICS) has been established in part to retrospectively re-calibrate a wide range of archived satellite data sets to increase their utility for reanalysis and climate studies.  Currently, there is no central data steward for reanalysis input observations, but only some informal sharing of observations and quality informati</w:t>
      </w:r>
      <w:r w:rsidR="00C30995">
        <w:t xml:space="preserve">on between reanalysis centers. </w:t>
      </w:r>
      <w:r>
        <w:t xml:space="preserve">All participants in the workshop agreed that some centralization would be beneficial to future reanalyses, and it was noted that the WCRP Observations and Analyses Panel (WOAP) has initiated a committee to address this issue. </w:t>
      </w:r>
      <w:r w:rsidR="0022150C">
        <w:t>So as to maximize the cross-center collaborations, participants agreed that future reanalyses should avoid using proprietary observations or input data sets.</w:t>
      </w:r>
      <w:r>
        <w:t xml:space="preserve"> In the meantime, the current reanalyses have helped identify biases and trends in curre</w:t>
      </w:r>
      <w:r w:rsidR="0022150C">
        <w:t xml:space="preserve">ntly available satellite and </w:t>
      </w:r>
      <w:r w:rsidR="0022150C" w:rsidRPr="0022150C">
        <w:rPr>
          <w:i/>
        </w:rPr>
        <w:t xml:space="preserve">in </w:t>
      </w:r>
      <w:r w:rsidRPr="0022150C">
        <w:rPr>
          <w:i/>
        </w:rPr>
        <w:t>situ</w:t>
      </w:r>
      <w:r>
        <w:t xml:space="preserve"> data sets that should be addressed in preparing for future reanalyses.</w:t>
      </w:r>
    </w:p>
    <w:p w:rsidR="008A6401" w:rsidRDefault="00E04924" w:rsidP="008A4DC5">
      <w:pPr>
        <w:spacing w:after="0"/>
      </w:pPr>
      <w:r>
        <w:rPr>
          <w:noProof/>
        </w:rPr>
        <w:pict>
          <v:shape id="_x0000_s1055" type="#_x0000_t202" style="position:absolute;left:0;text-align:left;margin-left:31.45pt;margin-top:48.25pt;width:1in;height:27pt;z-index:251678720;mso-wrap-edited:f;mso-position-horizontal:absolute;mso-position-vertical:absolute" wrapcoords="0 0 21600 0 21600 21600 0 21600 0 0" filled="f" strokecolor="gray [1629]">
            <v:fill o:detectmouseclick="t"/>
            <v:textbox inset=",7.2pt,,7.2pt">
              <w:txbxContent>
                <w:p w:rsidR="00B41FDF" w:rsidRPr="008A4DC5" w:rsidRDefault="00B41FDF">
                  <w:pPr>
                    <w:rPr>
                      <w:rFonts w:ascii="Helvetica" w:hAnsi="Helvetica"/>
                      <w:color w:val="000000" w:themeColor="text1"/>
                      <w:sz w:val="22"/>
                    </w:rPr>
                  </w:pPr>
                  <w:r w:rsidRPr="008A4DC5">
                    <w:rPr>
                      <w:rFonts w:ascii="Helvetica" w:hAnsi="Helvetica"/>
                      <w:color w:val="000000" w:themeColor="text1"/>
                      <w:sz w:val="22"/>
                    </w:rPr>
                    <w:t>Era-Interim</w:t>
                  </w:r>
                </w:p>
                <w:p w:rsidR="00B41FDF" w:rsidRPr="008A4DC5" w:rsidRDefault="00B41FDF">
                  <w:pPr>
                    <w:rPr>
                      <w:rFonts w:ascii="Helvetica" w:hAnsi="Helvetica"/>
                      <w:color w:val="000000" w:themeColor="text1"/>
                      <w:sz w:val="28"/>
                    </w:rPr>
                  </w:pPr>
                </w:p>
              </w:txbxContent>
            </v:textbox>
          </v:shape>
        </w:pict>
      </w:r>
      <w:r>
        <w:rPr>
          <w:noProof/>
        </w:rPr>
        <w:pict>
          <v:rect id="_x0000_s1053" style="position:absolute;left:0;text-align:left;margin-left:5.75pt;margin-top:3.5pt;width:18pt;height:9pt;z-index:251677696;mso-wrap-edited:f;mso-position-horizontal:absolute;mso-position-vertical:absolute" wrapcoords="-1800 0 -1800 18000 21600 18000 21600 0 -1800 0" fillcolor="white [3212]" stroked="f" strokecolor="#4a7ebb" strokeweight="1.5pt">
            <v:fill o:detectmouseclick="t"/>
            <v:shadow opacity="22938f" mv:blur="38100f" offset="0,2pt"/>
            <v:textbox inset=",7.2pt,,7.2pt"/>
          </v:rect>
        </w:pict>
      </w:r>
      <w:r w:rsidR="005B579B">
        <w:rPr>
          <w:noProof/>
        </w:rPr>
        <w:drawing>
          <wp:inline distT="0" distB="0" distL="0" distR="0">
            <wp:extent cx="5943600" cy="1151467"/>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b="4225"/>
                    <a:stretch>
                      <a:fillRect/>
                    </a:stretch>
                  </pic:blipFill>
                  <pic:spPr bwMode="auto">
                    <a:xfrm>
                      <a:off x="0" y="0"/>
                      <a:ext cx="5943600" cy="1151467"/>
                    </a:xfrm>
                    <a:prstGeom prst="rect">
                      <a:avLst/>
                    </a:prstGeom>
                    <a:noFill/>
                    <a:ln w="9525">
                      <a:noFill/>
                      <a:miter lim="800000"/>
                      <a:headEnd/>
                      <a:tailEnd/>
                    </a:ln>
                  </pic:spPr>
                </pic:pic>
              </a:graphicData>
            </a:graphic>
          </wp:inline>
        </w:drawing>
      </w:r>
    </w:p>
    <w:p w:rsidR="008A6401" w:rsidRDefault="00E04924" w:rsidP="008A4DC5">
      <w:pPr>
        <w:spacing w:after="0"/>
        <w:jc w:val="left"/>
      </w:pPr>
      <w:r>
        <w:rPr>
          <w:noProof/>
        </w:rPr>
        <w:pict>
          <v:shape id="_x0000_s1056" type="#_x0000_t202" style="position:absolute;margin-left:32.75pt;margin-top:45.75pt;width:62.6pt;height:27pt;z-index:251679744;mso-wrap-edited:f;mso-position-horizontal:absolute;mso-position-vertical:absolute" wrapcoords="0 0 21600 0 21600 21600 0 21600 0 0" filled="f" strokecolor="gray [1629]">
            <v:fill o:detectmouseclick="t"/>
            <v:textbox inset=",7.2pt,,7.2pt">
              <w:txbxContent>
                <w:p w:rsidR="00B41FDF" w:rsidRPr="008A4DC5" w:rsidRDefault="00B41FDF" w:rsidP="008A4DC5">
                  <w:pPr>
                    <w:jc w:val="center"/>
                    <w:rPr>
                      <w:rFonts w:ascii="Helvetica" w:hAnsi="Helvetica"/>
                      <w:color w:val="000000" w:themeColor="text1"/>
                      <w:sz w:val="22"/>
                    </w:rPr>
                  </w:pPr>
                  <w:r>
                    <w:rPr>
                      <w:rFonts w:ascii="Helvetica" w:hAnsi="Helvetica"/>
                      <w:color w:val="000000" w:themeColor="text1"/>
                      <w:sz w:val="22"/>
                    </w:rPr>
                    <w:t>MERRA</w:t>
                  </w:r>
                </w:p>
                <w:p w:rsidR="00B41FDF" w:rsidRPr="008A4DC5" w:rsidRDefault="00B41FDF" w:rsidP="008A4DC5">
                  <w:pPr>
                    <w:rPr>
                      <w:rFonts w:ascii="Helvetica" w:hAnsi="Helvetica"/>
                      <w:color w:val="000000" w:themeColor="text1"/>
                      <w:sz w:val="28"/>
                    </w:rPr>
                  </w:pPr>
                </w:p>
              </w:txbxContent>
            </v:textbox>
          </v:shape>
        </w:pict>
      </w:r>
      <w:r w:rsidR="008A4DC5">
        <w:t xml:space="preserve"> </w:t>
      </w:r>
      <w:r w:rsidR="005B579B">
        <w:rPr>
          <w:noProof/>
        </w:rPr>
        <w:drawing>
          <wp:inline distT="0" distB="0" distL="0" distR="0">
            <wp:extent cx="5715000" cy="1473200"/>
            <wp:effectExtent l="2540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t="7907" r="-9697" b="11163"/>
                    <a:stretch>
                      <a:fillRect/>
                    </a:stretch>
                  </pic:blipFill>
                  <pic:spPr bwMode="auto">
                    <a:xfrm>
                      <a:off x="0" y="0"/>
                      <a:ext cx="5715000" cy="1473200"/>
                    </a:xfrm>
                    <a:prstGeom prst="rect">
                      <a:avLst/>
                    </a:prstGeom>
                    <a:noFill/>
                    <a:ln w="9525">
                      <a:noFill/>
                      <a:miter lim="800000"/>
                      <a:headEnd/>
                      <a:tailEnd/>
                    </a:ln>
                  </pic:spPr>
                </pic:pic>
              </a:graphicData>
            </a:graphic>
          </wp:inline>
        </w:drawing>
      </w:r>
      <w:r w:rsidR="005B579B">
        <w:t xml:space="preserve">         </w:t>
      </w:r>
    </w:p>
    <w:p w:rsidR="008A6401" w:rsidRPr="00EF3496" w:rsidRDefault="0010261B" w:rsidP="00EF3496">
      <w:pPr>
        <w:pStyle w:val="FigureCaption"/>
        <w:ind w:left="810"/>
        <w:jc w:val="left"/>
      </w:pPr>
      <w:r>
        <w:t>Figure 23</w:t>
      </w:r>
      <w:r w:rsidR="008A6401">
        <w:t xml:space="preserve">: Globally averaged bias estimates (K) for AMSU-A channel 6 radiances from NOAA-15, -16, -17 and Aqua based on ERA-Interim (from Dee and </w:t>
      </w:r>
      <w:proofErr w:type="spellStart"/>
      <w:r w:rsidR="008A6401">
        <w:t>Uppala</w:t>
      </w:r>
      <w:proofErr w:type="spellEnd"/>
      <w:r w:rsidR="008A6401">
        <w:t xml:space="preserve"> (2009), top) and MERRA (bottom).  The bias estimates based on a 12-hourly assimilation cycle in ERA-Interim and a 6-hourly assimilation cycle in MERRA.</w:t>
      </w:r>
    </w:p>
    <w:p w:rsidR="008A6401" w:rsidRDefault="00EF3496" w:rsidP="008A6401">
      <w:r>
        <w:t xml:space="preserve">DU09 identified a number of such issues by analyzing the performance of the variational bias correction scheme for satellite radiances used in ERA-Interim.  Figure 23 shows results from that paper, indicating a long-term trend in the global bias estimates for AMSU-A channel 6 radiances from different satellites, as well as similar results based on MERRA.  Both reanalyses show a downward trend as large as 0.5 K per decade, although the bias estimates themselves differ in each system as a result of the different background states and other observational information.  Dee and </w:t>
      </w:r>
      <w:proofErr w:type="spellStart"/>
      <w:r>
        <w:t>Uppala</w:t>
      </w:r>
      <w:proofErr w:type="spellEnd"/>
      <w:r>
        <w:t xml:space="preserve"> attributed this trend to known instrument problems, but also noted that the trends may be over-exaggerated in these results due to the assimilation of increasing numbers of (warmly) biased aircraft observations in the upper troposphere. Evidence of the latter is illustrated in Figure 24</w:t>
      </w:r>
      <w:r w:rsidR="00B36E85">
        <w:t>, which</w:t>
      </w:r>
      <w:r>
        <w:t xml:space="preserve">, like Figure 23, compares results from DU09 for ERA-Interim with ones for MERRA, but in this case showing observation-minus-analysis departures and observation counts for aircraft temperature reports at 200 </w:t>
      </w:r>
      <w:proofErr w:type="spellStart"/>
      <w:r>
        <w:t>hPa</w:t>
      </w:r>
      <w:proofErr w:type="spellEnd"/>
      <w:r>
        <w:t xml:space="preserve">. Note the sharp increase in the number of reports after the late 1990’s, and the corresponding drop in mean departure values as these observations have increasing influence on the analyzed upper tropospheric temperatures. </w:t>
      </w:r>
    </w:p>
    <w:p w:rsidR="008A6401" w:rsidRDefault="00E04924" w:rsidP="008A6401">
      <w:r>
        <w:rPr>
          <w:noProof/>
        </w:rPr>
        <w:pict>
          <v:shape id="_x0000_s1026" type="#_x0000_t202" style="position:absolute;left:0;text-align:left;margin-left:99pt;margin-top:8.1pt;width:270pt;height:63pt;z-index:251658240;mso-wrap-edited:f;mso-position-horizontal:absolute;mso-position-vertical:absolute" wrapcoords="0 0 21600 0 21600 21600 0 21600 0 0" filled="f" strokecolor="black [3213]">
            <v:fill o:detectmouseclick="t"/>
            <v:textbox inset=",7.2pt,,7.2pt">
              <w:txbxContent>
                <w:p w:rsidR="00B41FDF" w:rsidRDefault="00B41FDF" w:rsidP="008A6401">
                  <w:pPr>
                    <w:jc w:val="center"/>
                    <w:rPr>
                      <w:sz w:val="28"/>
                    </w:rPr>
                  </w:pPr>
                </w:p>
                <w:p w:rsidR="00B41FDF" w:rsidRDefault="00B41FDF" w:rsidP="008A6401">
                  <w:pPr>
                    <w:jc w:val="center"/>
                    <w:rPr>
                      <w:sz w:val="28"/>
                    </w:rPr>
                  </w:pPr>
                  <w:r>
                    <w:rPr>
                      <w:sz w:val="28"/>
                    </w:rPr>
                    <w:t>Figure 2</w:t>
                  </w:r>
                  <w:r w:rsidRPr="008A4DC5">
                    <w:rPr>
                      <w:color w:val="FF6600"/>
                      <w:sz w:val="28"/>
                    </w:rPr>
                    <w:t>4</w:t>
                  </w:r>
                  <w:r>
                    <w:rPr>
                      <w:sz w:val="28"/>
                    </w:rPr>
                    <w:t xml:space="preserve"> Missing</w:t>
                  </w:r>
                </w:p>
              </w:txbxContent>
            </v:textbox>
            <w10:wrap type="tight"/>
          </v:shape>
        </w:pict>
      </w:r>
    </w:p>
    <w:p w:rsidR="008A6401" w:rsidRDefault="008A6401" w:rsidP="008A6401">
      <w:r>
        <w:tab/>
      </w:r>
      <w:r>
        <w:tab/>
      </w:r>
      <w:r>
        <w:tab/>
      </w:r>
      <w:r>
        <w:tab/>
      </w:r>
      <w:r>
        <w:tab/>
      </w:r>
    </w:p>
    <w:p w:rsidR="008A6401" w:rsidRDefault="008A6401" w:rsidP="008A6401"/>
    <w:p w:rsidR="008A6401" w:rsidRPr="00257A65" w:rsidRDefault="0010261B" w:rsidP="00C30995">
      <w:pPr>
        <w:pStyle w:val="FigureCaption"/>
        <w:ind w:left="810"/>
        <w:jc w:val="left"/>
        <w:rPr>
          <w:color w:val="FF0000"/>
        </w:rPr>
      </w:pPr>
      <w:r>
        <w:t>Figure 24</w:t>
      </w:r>
      <w:r w:rsidR="008A6401">
        <w:t xml:space="preserve">: Globally analysis departures (K) and observation counts for aircraft temperature reports at 200 </w:t>
      </w:r>
      <w:proofErr w:type="spellStart"/>
      <w:r w:rsidR="008A6401">
        <w:t>hPa</w:t>
      </w:r>
      <w:proofErr w:type="spellEnd"/>
      <w:r w:rsidR="008A6401">
        <w:t xml:space="preserve"> based on ERA-Interim (from Dee and </w:t>
      </w:r>
      <w:proofErr w:type="spellStart"/>
      <w:r w:rsidR="008A6401">
        <w:t>Uppala</w:t>
      </w:r>
      <w:proofErr w:type="spellEnd"/>
      <w:r w:rsidR="008A6401">
        <w:t xml:space="preserve"> (2009), top) and MERRA (bottom).  Observation counts represent 12-hour totals in ERA-Interim and 6-hour totals in MERRA.</w:t>
      </w:r>
    </w:p>
    <w:p w:rsidR="008A6401" w:rsidRDefault="008A6401" w:rsidP="008A6401">
      <w:r>
        <w:t>These and other results argue for increased focus on data preparation for future reanalyses, especially as a key to improving their utility for studyi</w:t>
      </w:r>
      <w:r w:rsidR="00C30995">
        <w:t xml:space="preserve">ng climate and climate change. </w:t>
      </w:r>
      <w:r>
        <w:t xml:space="preserve">Projects such as GSICS are an important first step for improving the quality of existing (and future) satellite data </w:t>
      </w:r>
      <w:r w:rsidR="00C30995">
        <w:t xml:space="preserve">sets in this regard. </w:t>
      </w:r>
      <w:r>
        <w:t>For conventional observations, the approach s</w:t>
      </w:r>
      <w:r w:rsidR="00C30995">
        <w:t xml:space="preserve">o far had been more piecemeal. </w:t>
      </w:r>
      <w:r>
        <w:t>Off-line bias corrections (Redder</w:t>
      </w:r>
      <w:r w:rsidR="006024E9">
        <w:t xml:space="preserve"> et al.</w:t>
      </w:r>
      <w:r w:rsidR="00C30995">
        <w:t>,</w:t>
      </w:r>
      <w:r>
        <w:t xml:space="preserve"> 2004) and a “homogenization” procedure (</w:t>
      </w:r>
      <w:proofErr w:type="spellStart"/>
      <w:r>
        <w:t>Haimberger</w:t>
      </w:r>
      <w:proofErr w:type="spellEnd"/>
      <w:r w:rsidR="00C30995">
        <w:t>,</w:t>
      </w:r>
      <w:r>
        <w:t xml:space="preserve"> 2007) are applied to some radiosonde observations, and it has been proposed to apply bias corrections to aircraft temperature observations (</w:t>
      </w:r>
      <w:proofErr w:type="spellStart"/>
      <w:r>
        <w:t>Balish</w:t>
      </w:r>
      <w:proofErr w:type="spellEnd"/>
      <w:r>
        <w:t xml:space="preserve"> and Kumar</w:t>
      </w:r>
      <w:r w:rsidR="00C30995">
        <w:t xml:space="preserve">, </w:t>
      </w:r>
      <w:r w:rsidR="00A66AD6">
        <w:t xml:space="preserve">2008). </w:t>
      </w:r>
      <w:r>
        <w:t>Ultimately, however, as with satellite radiances, bias corrections for conventional observations should be estimated within the data assimilation scheme so as to be adaptive and consistent with all other information used in the analysis.</w:t>
      </w:r>
    </w:p>
    <w:p w:rsidR="008A6401" w:rsidRDefault="00B36E85" w:rsidP="008A6401">
      <w:r>
        <w:t xml:space="preserve">It is also worth noting </w:t>
      </w:r>
      <w:r w:rsidR="008A6401">
        <w:t>that most centers make only limited use of surface-sensitive radiance data over land or snow- and ice-covered surfaces that might otherwise be important sources of informa</w:t>
      </w:r>
      <w:r w:rsidR="00C30995">
        <w:t xml:space="preserve">tion in a reanalysis context. </w:t>
      </w:r>
      <w:r w:rsidR="008A6401">
        <w:t>In MERRA, for example, microwave radiances from AMSU-A channels 1-6 and 15 were excluded over snow, ice</w:t>
      </w:r>
      <w:r w:rsidR="008A6401" w:rsidRPr="00365759">
        <w:t xml:space="preserve"> and mixed surfaces</w:t>
      </w:r>
      <w:r w:rsidR="008A6401">
        <w:t xml:space="preserve">, as were radiances from AMSU-B channels 1, 2 and 5, and </w:t>
      </w:r>
      <w:r w:rsidR="008A6401" w:rsidRPr="00365759">
        <w:t>MSU channels 1 and 2</w:t>
      </w:r>
      <w:r w:rsidR="00C30995">
        <w:t xml:space="preserve">. </w:t>
      </w:r>
      <w:r w:rsidR="008A6401">
        <w:t xml:space="preserve">Surface-sensitive infrared radiances </w:t>
      </w:r>
      <w:r w:rsidR="00C30995">
        <w:t xml:space="preserve">were also excluded over land. </w:t>
      </w:r>
      <w:r w:rsidR="008A6401">
        <w:t>Successful use of these data requires, among</w:t>
      </w:r>
      <w:r w:rsidR="006D096C">
        <w:t>st</w:t>
      </w:r>
      <w:r w:rsidR="008A6401">
        <w:t xml:space="preserve"> other things, improved modeling of surface emissivity and other relevant land surface characteristics.</w:t>
      </w:r>
    </w:p>
    <w:p w:rsidR="006D096C" w:rsidRDefault="008324AE" w:rsidP="008324AE">
      <w:r>
        <w:t xml:space="preserve">The performance of the reanalyses in the high stratosphere is a cause for concern.  A major issue is the lack of long-term </w:t>
      </w:r>
      <w:r w:rsidRPr="008324AE">
        <w:rPr>
          <w:i/>
        </w:rPr>
        <w:t>in situ</w:t>
      </w:r>
      <w:r>
        <w:t xml:space="preserve"> temperature observations which, coupled with the model biases and the deep weighting functions of the SSU and AMSU-A radiance channels, makes precise constraints on meteorological fields rather difficult to ascertain.  It also makes the bias correction inapplicable because of the major contributions of model bias in variational bias c</w:t>
      </w:r>
      <w:r w:rsidR="006D096C">
        <w:t>orrection techniques.  Figure 21</w:t>
      </w:r>
      <w:r>
        <w:t xml:space="preserve"> illustrates long-term temperature fluctuations that exceed the </w:t>
      </w:r>
      <w:r w:rsidR="00436047">
        <w:t>magnitude</w:t>
      </w:r>
      <w:r w:rsidR="006D096C">
        <w:t xml:space="preserve"> of expected decadal trends. </w:t>
      </w:r>
      <w:r>
        <w:t xml:space="preserve">Future reanalyses will need to focus on improving models (eliminating model biases) and also better calibrations of the input radiance data and </w:t>
      </w:r>
      <w:r w:rsidR="00B36E85">
        <w:t>improvement in</w:t>
      </w:r>
      <w:r>
        <w:t xml:space="preserve"> the way these interact with the background states to produce the analyses.  Limb-sounding temperature data are available for certain periods, and may be used as “anchors” for limited numbers of years, but these datasets generally do not overlap, so issues related to cross-dataset bias have not been addressed in detail.  High-quality temperature time series are available from occultation measurements, but the extremely low density of these data makes them unsuitable for assimilation: a more promising way of using them in reanalyses will be as calibration datasets – an aspect that will require substantial developments.  </w:t>
      </w:r>
    </w:p>
    <w:p w:rsidR="00D63051" w:rsidRPr="00D63051" w:rsidRDefault="008324AE" w:rsidP="00BE3922">
      <w:r>
        <w:t>Similar arguments apply to ozone analyses, for which the SBUV data provide generally adequate constraints at any time, but issues of cross-calibration of the sensors, due to orbital differences and instrument charac</w:t>
      </w:r>
      <w:r w:rsidR="00B36E85">
        <w:t>teristics, need to be addressed. A</w:t>
      </w:r>
      <w:r>
        <w:t xml:space="preserve">gain, use of sparse occultation observations for calibration may be promising.  Additionally, inclusion of time-dependent greenhouse gases and ozone chemistry in the underlying model will be needed to more realistically represent long-term trends in temperature and ozone in the middle atmosphere.   </w:t>
      </w:r>
    </w:p>
    <w:p w:rsidR="00660B26" w:rsidRPr="00D63051" w:rsidRDefault="001B702E" w:rsidP="00F4565F">
      <w:pPr>
        <w:pStyle w:val="Heading2"/>
      </w:pPr>
      <w:r>
        <w:t>Anticipated Developments</w:t>
      </w:r>
      <w:r w:rsidR="006D096C">
        <w:t xml:space="preserve"> in Coupling to Other Components</w:t>
      </w:r>
    </w:p>
    <w:p w:rsidR="00CC6214" w:rsidRDefault="006D096C" w:rsidP="00CC6214">
      <w:pPr>
        <w:pStyle w:val="Heading3"/>
      </w:pPr>
      <w:r>
        <w:t>U</w:t>
      </w:r>
      <w:r w:rsidR="00CC6214">
        <w:t xml:space="preserve">pper ocean and land surface </w:t>
      </w:r>
    </w:p>
    <w:p w:rsidR="000A46AA" w:rsidRDefault="00036D2A" w:rsidP="00511155">
      <w:r>
        <w:t xml:space="preserve">Many of the questions to be addressed through reanalyses (budgets and exchanges, trends, attribution of major anomalies, etc.) would benefit from consistent analyses across components. Hence there is a lot of interest in </w:t>
      </w:r>
      <w:r>
        <w:rPr>
          <w:i/>
        </w:rPr>
        <w:t>integrated Earth System analyses</w:t>
      </w:r>
      <w:r>
        <w:t>. The NCEP CFSR is the first atmospheric reanalysis conducted where the first guess was provided by the integration of a coupled ocean-atmosphere-sea-ice-land-surface model. It is expected that future developments will have some focus on coupling, whether</w:t>
      </w:r>
      <w:r w:rsidR="000A46AA">
        <w:t xml:space="preserve"> weakly coupled as in the CSFR or strongly coupled when observations in one component will impact the state in another. </w:t>
      </w:r>
      <w:r w:rsidR="00586B42" w:rsidRPr="00F3031F">
        <w:t xml:space="preserve"> </w:t>
      </w:r>
    </w:p>
    <w:p w:rsidR="00D63051" w:rsidRPr="00511155" w:rsidRDefault="005561F9" w:rsidP="00511155">
      <w:r>
        <w:t>From the comparison of MERRA and CFSR</w:t>
      </w:r>
      <w:r w:rsidR="00FE1171">
        <w:t xml:space="preserve"> (which both use the GSI</w:t>
      </w:r>
      <w:r w:rsidR="00B36E85">
        <w:t xml:space="preserve"> analysis scheme</w:t>
      </w:r>
      <w:r w:rsidR="00FE1171">
        <w:t>)</w:t>
      </w:r>
      <w:r>
        <w:t xml:space="preserve"> with </w:t>
      </w:r>
      <w:r w:rsidR="00FE1171">
        <w:t>observations, it is not obvious that there</w:t>
      </w:r>
      <w:r>
        <w:t xml:space="preserve"> </w:t>
      </w:r>
      <w:r w:rsidR="00FE1171">
        <w:t>i</w:t>
      </w:r>
      <w:r w:rsidR="00586B42">
        <w:t xml:space="preserve">s there a benefit </w:t>
      </w:r>
      <w:r w:rsidR="00FE1171">
        <w:t xml:space="preserve">yet to coupling for the quality of the atmospheric reanalyses. However, it is expected that efforts will continue to improve the performance of coupled models, especially of the interface. </w:t>
      </w:r>
    </w:p>
    <w:p w:rsidR="00D63051" w:rsidRDefault="006D096C" w:rsidP="008E7FB5">
      <w:pPr>
        <w:pStyle w:val="Heading3"/>
      </w:pPr>
      <w:r>
        <w:t>C</w:t>
      </w:r>
      <w:r w:rsidR="00D63051">
        <w:t>arbon, aerosols, other constituents</w:t>
      </w:r>
      <w:r w:rsidR="005E22FB">
        <w:t xml:space="preserve"> </w:t>
      </w:r>
    </w:p>
    <w:p w:rsidR="002718E0" w:rsidRDefault="00D6702E" w:rsidP="005E22FB">
      <w:r>
        <w:t>The increased interest in “Earth System” reanalyses that include atmospheric composition is based partly on the widespread use of reanalyses for driving atmosphe</w:t>
      </w:r>
      <w:r w:rsidR="00DA1414">
        <w:t>r</w:t>
      </w:r>
      <w:r>
        <w:t xml:space="preserve">ic aerosol, chemistry and carbon models, and also on the increasing availability of observations of atmospheric composition in the </w:t>
      </w:r>
      <w:r w:rsidR="00DA1414">
        <w:t>past</w:t>
      </w:r>
      <w:r w:rsidR="00435DE6">
        <w:t xml:space="preserve"> decade. </w:t>
      </w:r>
      <w:r w:rsidR="00DA1414">
        <w:t>It is reasonable to work towards reanalyses that include atmospheric aerosols, carbon species, and reactive gases, at least for the post-2000 period, as future proje</w:t>
      </w:r>
      <w:r w:rsidR="00CC4189">
        <w:t xml:space="preserve">cts are formulated.  Such Earth </w:t>
      </w:r>
      <w:r w:rsidR="00DA1414">
        <w:t>System components depend fundamentally on the adequacy of the underlying meteorological analyses to constrain aspects such as transport (winds), reactive chemistry (temperature), and emissions of numerous constituents that depend variously upon physical properties such as surface winds (e.g., sea salt, dust, oceanic carbon exchange), surface temperature (e.g., isoprene), soil moisture (CO</w:t>
      </w:r>
      <w:r w:rsidR="00884888" w:rsidRPr="00884888">
        <w:rPr>
          <w:vertAlign w:val="subscript"/>
        </w:rPr>
        <w:t>2</w:t>
      </w:r>
      <w:r w:rsidR="00DA1414">
        <w:t>).  Additional constraints from space-borne sensors can be included into these analyses, such as leaf-area index (e.g., MODIS) that helps constrain respiration and photosynthesis calculations, burned areas and fire radiant energy (e.g., MODIS) that helps constrain CO, CO</w:t>
      </w:r>
      <w:r w:rsidR="00884888" w:rsidRPr="00884888">
        <w:rPr>
          <w:vertAlign w:val="subscript"/>
        </w:rPr>
        <w:t>2</w:t>
      </w:r>
      <w:r w:rsidR="00DA1414">
        <w:t>, black- and organic-carbon aerosol emissions, and additional chemical species, such as NO</w:t>
      </w:r>
      <w:r w:rsidR="00884888" w:rsidRPr="00884888">
        <w:rPr>
          <w:vertAlign w:val="subscript"/>
        </w:rPr>
        <w:t>2</w:t>
      </w:r>
      <w:r w:rsidR="00DA1414">
        <w:t xml:space="preserve"> (e.g., from OMI and GOME), that </w:t>
      </w:r>
      <w:r w:rsidR="00511155">
        <w:t xml:space="preserve">help constrain air pollution. </w:t>
      </w:r>
      <w:r w:rsidR="00DA1414">
        <w:t xml:space="preserve">Inclusion of these additional observations to variously constrain emissions and chemical processes adds complexity to the underlying models used in reanalyses, transporting additional species and computing the </w:t>
      </w:r>
      <w:r w:rsidR="00E41F12">
        <w:t>interactions among them, and adds additional cost to the analyses (more variables in the</w:t>
      </w:r>
      <w:r w:rsidR="002718E0">
        <w:t xml:space="preserve"> state vectors). </w:t>
      </w:r>
    </w:p>
    <w:p w:rsidR="00660B26" w:rsidRPr="00D63051" w:rsidRDefault="00E41F12" w:rsidP="005E22FB">
      <w:r>
        <w:t xml:space="preserve">While assimilation of these constituents is in essence straightforward, there are presently many uncertainties in the details, such as how to best represent background error covariances (with potential cross-species components and co-variance with temperature and transport).  It is also important to realize that the multi-decadal analyses that the community has come to expect for meteorology are highly unlikely to be performed for a broad range of aerosols and constituents because of the dearth of relevant observations over the past decades.    </w:t>
      </w:r>
      <w:r w:rsidR="00DA1414">
        <w:t xml:space="preserve"> </w:t>
      </w:r>
    </w:p>
    <w:p w:rsidR="009A19C2" w:rsidRPr="003A06E8" w:rsidRDefault="003A06E8" w:rsidP="0010261B">
      <w:pPr>
        <w:pStyle w:val="Heading1"/>
      </w:pPr>
      <w:r>
        <w:t>Cross-Center</w:t>
      </w:r>
      <w:r w:rsidR="009A19C2">
        <w:t xml:space="preserve"> Coordination</w:t>
      </w:r>
      <w:r>
        <w:t xml:space="preserve">  </w:t>
      </w:r>
    </w:p>
    <w:p w:rsidR="00E8601F" w:rsidRPr="00497491" w:rsidRDefault="00E8601F" w:rsidP="00E8601F">
      <w:r>
        <w:t>The workshop participants agreed that to improve the representation of the climate record in reanalyses, it will be necessary to understand some of the sensitivities and responses of the assimilation systems to the different input data as well as the impact of different input data (such as the use of cross-calibrated MSU vs. using the variational bias correction to account for MSU channel drifts).</w:t>
      </w:r>
    </w:p>
    <w:p w:rsidR="00E8601F" w:rsidRDefault="00E8601F" w:rsidP="00E8601F">
      <w:r>
        <w:t>An obvious area that needs investigation is the sensitivity of the different systems to the introduction (and removal) of the AMSU-A instruments on NOAA-15 and -</w:t>
      </w:r>
      <w:r w:rsidRPr="00D4447C">
        <w:t>16</w:t>
      </w:r>
      <w:r>
        <w:t>.  Each of the systems responds differently, but there is an imprint of change in global precipitation in each of the sy</w:t>
      </w:r>
      <w:r w:rsidR="00F52B50">
        <w:t>stems (Fig.</w:t>
      </w:r>
      <w:r>
        <w:t xml:space="preserve"> 18). </w:t>
      </w:r>
      <w:r w:rsidRPr="00D4447C">
        <w:t xml:space="preserve"> </w:t>
      </w:r>
      <w:r w:rsidR="00F52B50">
        <w:t xml:space="preserve">Differences may reflect differences in QC measures. For example, </w:t>
      </w:r>
      <w:r w:rsidR="00B36E85">
        <w:t>developers at NCEP and GMAO cited</w:t>
      </w:r>
      <w:r w:rsidR="00F52B50">
        <w:t xml:space="preserve"> a potential deficiency in QC for the water vapor sensitive channels (1-5 and 15) on AMSU-A in the GSI used for MERRA as compared to ERA-Interim. Hence the suggestion followed to undertake an in-depth investigation of how these channels were used in the various reanalyses. Another difference between the systems is the assimilation of rain radiances (1d+4d </w:t>
      </w:r>
      <w:proofErr w:type="spellStart"/>
      <w:r w:rsidR="00F52B50">
        <w:t>var</w:t>
      </w:r>
      <w:proofErr w:type="spellEnd"/>
      <w:r w:rsidR="00F52B50">
        <w:t>) in ERA-Inter</w:t>
      </w:r>
      <w:r w:rsidR="00B36E85">
        <w:t>im.  This was implemented/modified in ERA-Interim in 199</w:t>
      </w:r>
      <w:r w:rsidR="00F52B50">
        <w:t>2 and had a noticeable impact o</w:t>
      </w:r>
      <w:r w:rsidR="0061693A">
        <w:t>n the global precipitation (Figure</w:t>
      </w:r>
      <w:r w:rsidR="00F52B50">
        <w:t xml:space="preserve"> 18</w:t>
      </w:r>
      <w:r w:rsidR="00B36E85">
        <w:t>a</w:t>
      </w:r>
      <w:r w:rsidR="00F52B50">
        <w:t>). This then may lessen the impact of new data on the global precipitation in the ERA-Interim system. Obviously judicious experimentation and comparison may provide insight into the variations that are of concern.</w:t>
      </w:r>
    </w:p>
    <w:p w:rsidR="00E8601F" w:rsidRDefault="00E8601F" w:rsidP="00E8601F">
      <w:pPr>
        <w:spacing w:after="0"/>
      </w:pPr>
      <w:r>
        <w:t xml:space="preserve">The groups agreed to start a </w:t>
      </w:r>
      <w:r w:rsidRPr="00D4447C">
        <w:t xml:space="preserve">joint </w:t>
      </w:r>
      <w:r>
        <w:t xml:space="preserve">project of </w:t>
      </w:r>
      <w:r w:rsidRPr="00D4447C">
        <w:t>sensitivity analysis</w:t>
      </w:r>
      <w:r>
        <w:t>:</w:t>
      </w:r>
    </w:p>
    <w:p w:rsidR="00E8601F" w:rsidRDefault="00436047" w:rsidP="00E8601F">
      <w:pPr>
        <w:pStyle w:val="ListParagraph"/>
        <w:numPr>
          <w:ilvl w:val="0"/>
          <w:numId w:val="18"/>
        </w:numPr>
        <w:tabs>
          <w:tab w:val="clear" w:pos="1440"/>
          <w:tab w:val="num" w:pos="990"/>
        </w:tabs>
        <w:spacing w:after="0"/>
      </w:pPr>
      <w:r>
        <w:t>Share</w:t>
      </w:r>
      <w:r w:rsidR="00E8601F">
        <w:t xml:space="preserve"> information on results from sensitivity experiments</w:t>
      </w:r>
    </w:p>
    <w:p w:rsidR="00E8601F" w:rsidRDefault="00436047" w:rsidP="00E8601F">
      <w:pPr>
        <w:pStyle w:val="ListParagraph"/>
        <w:numPr>
          <w:ilvl w:val="0"/>
          <w:numId w:val="18"/>
        </w:numPr>
        <w:tabs>
          <w:tab w:val="clear" w:pos="1440"/>
          <w:tab w:val="num" w:pos="990"/>
        </w:tabs>
        <w:spacing w:after="0"/>
      </w:pPr>
      <w:r>
        <w:t>Examine</w:t>
      </w:r>
      <w:r w:rsidR="00E8601F">
        <w:t xml:space="preserve"> data utilization, including QC decisions, innovation statistics</w:t>
      </w:r>
    </w:p>
    <w:p w:rsidR="00E8601F" w:rsidRDefault="00436047" w:rsidP="00E8601F">
      <w:pPr>
        <w:pStyle w:val="ListParagraph"/>
        <w:numPr>
          <w:ilvl w:val="0"/>
          <w:numId w:val="18"/>
        </w:numPr>
        <w:tabs>
          <w:tab w:val="clear" w:pos="1440"/>
          <w:tab w:val="num" w:pos="990"/>
        </w:tabs>
        <w:spacing w:after="0"/>
      </w:pPr>
      <w:r>
        <w:t>Identify</w:t>
      </w:r>
      <w:r w:rsidR="00E8601F">
        <w:t xml:space="preserve"> joint experiments to be conducted to elucidate the issue.  </w:t>
      </w:r>
    </w:p>
    <w:p w:rsidR="009B1250" w:rsidRDefault="009B1250" w:rsidP="00E8601F"/>
    <w:p w:rsidR="009A19C2" w:rsidRPr="009B1250" w:rsidRDefault="009B1250" w:rsidP="00E8601F">
      <w:pPr>
        <w:rPr>
          <w:color w:val="000000" w:themeColor="text1"/>
        </w:rPr>
      </w:pPr>
      <w:r>
        <w:rPr>
          <w:color w:val="000000" w:themeColor="text1"/>
        </w:rPr>
        <w:t>To set the stage for future coord</w:t>
      </w:r>
      <w:r w:rsidR="00C55D51">
        <w:rPr>
          <w:color w:val="000000" w:themeColor="text1"/>
        </w:rPr>
        <w:t>ination, reanalysis centers are</w:t>
      </w:r>
      <w:r>
        <w:rPr>
          <w:color w:val="000000" w:themeColor="text1"/>
        </w:rPr>
        <w:t xml:space="preserve"> encouraged to prepare and share lists of anomalous behavior or features to help identify how common such anomalies are across the various reanalyses.</w:t>
      </w:r>
    </w:p>
    <w:p w:rsidR="00C77326" w:rsidRDefault="009A19C2" w:rsidP="0010261B">
      <w:pPr>
        <w:pStyle w:val="Heading2"/>
      </w:pPr>
      <w:r>
        <w:t>Innovative Diagnostics</w:t>
      </w:r>
      <w:r w:rsidR="00E636B0">
        <w:t xml:space="preserve"> </w:t>
      </w:r>
    </w:p>
    <w:p w:rsidR="008F088C" w:rsidRDefault="008F088C" w:rsidP="002A4F68">
      <w:r>
        <w:t>Given the lack of definitive validation data and the vast array of possible comparisons, the workshop participants encouraged the development of innovative diagnostics.  Some examples:</w:t>
      </w:r>
    </w:p>
    <w:p w:rsidR="008F088C" w:rsidRDefault="009B1250" w:rsidP="009B1250">
      <w:pPr>
        <w:pStyle w:val="ListParagraph"/>
        <w:numPr>
          <w:ilvl w:val="0"/>
          <w:numId w:val="21"/>
        </w:numPr>
        <w:tabs>
          <w:tab w:val="num" w:pos="990"/>
        </w:tabs>
        <w:ind w:left="990" w:hanging="270"/>
      </w:pPr>
      <w:r>
        <w:t xml:space="preserve">A </w:t>
      </w:r>
      <w:r w:rsidR="008F088C">
        <w:t>useful metric of both quality and uncertainty is the level of variance of one reanalysis explained by another. This should</w:t>
      </w:r>
      <w:r w:rsidR="002A4F68">
        <w:t xml:space="preserve"> be a standard diagno</w:t>
      </w:r>
      <w:r w:rsidR="008F088C">
        <w:t>stic for the various reanalyses.</w:t>
      </w:r>
    </w:p>
    <w:p w:rsidR="00090BD8" w:rsidRDefault="008F088C" w:rsidP="00090BD8">
      <w:pPr>
        <w:pStyle w:val="ListParagraph"/>
        <w:numPr>
          <w:ilvl w:val="0"/>
          <w:numId w:val="21"/>
        </w:numPr>
        <w:tabs>
          <w:tab w:val="num" w:pos="990"/>
        </w:tabs>
        <w:ind w:left="990" w:hanging="270"/>
      </w:pPr>
      <w:r>
        <w:t xml:space="preserve">Summaries such as the joint frequency distribution of long-wave and </w:t>
      </w:r>
      <w:proofErr w:type="gramStart"/>
      <w:r>
        <w:t>short-wave</w:t>
      </w:r>
      <w:proofErr w:type="gramEnd"/>
      <w:r w:rsidR="009B1250">
        <w:t xml:space="preserve"> fluxes </w:t>
      </w:r>
      <w:r w:rsidR="00CC4189">
        <w:t xml:space="preserve">in Figure 7, </w:t>
      </w:r>
      <w:r w:rsidR="009B1250">
        <w:t xml:space="preserve">developed by </w:t>
      </w:r>
      <w:proofErr w:type="spellStart"/>
      <w:r w:rsidR="009B1250">
        <w:t>Junye</w:t>
      </w:r>
      <w:proofErr w:type="spellEnd"/>
      <w:r w:rsidR="009B1250">
        <w:t xml:space="preserve"> Chen</w:t>
      </w:r>
      <w:r w:rsidR="00CC4189">
        <w:t>,</w:t>
      </w:r>
      <w:r w:rsidR="009B1250">
        <w:t xml:space="preserve"> provide a new and efficient view of the quality of the radiative analyses.</w:t>
      </w:r>
    </w:p>
    <w:p w:rsidR="00FD23CA" w:rsidRPr="00FD23CA" w:rsidRDefault="00090BD8" w:rsidP="00090BD8">
      <w:pPr>
        <w:pStyle w:val="ListParagraph"/>
        <w:numPr>
          <w:ilvl w:val="0"/>
          <w:numId w:val="21"/>
        </w:numPr>
        <w:tabs>
          <w:tab w:val="num" w:pos="990"/>
        </w:tabs>
        <w:ind w:left="990" w:hanging="270"/>
      </w:pPr>
      <w:r>
        <w:t xml:space="preserve">A </w:t>
      </w:r>
      <w:r>
        <w:rPr>
          <w:color w:val="000000" w:themeColor="text1"/>
        </w:rPr>
        <w:t>contextual bias analysi</w:t>
      </w:r>
      <w:r w:rsidRPr="00090BD8">
        <w:rPr>
          <w:color w:val="000000" w:themeColor="text1"/>
        </w:rPr>
        <w:t>s</w:t>
      </w:r>
      <w:r>
        <w:rPr>
          <w:color w:val="000000" w:themeColor="text1"/>
        </w:rPr>
        <w:t xml:space="preserve">, as developed by </w:t>
      </w:r>
      <w:proofErr w:type="spellStart"/>
      <w:r>
        <w:rPr>
          <w:color w:val="000000" w:themeColor="text1"/>
        </w:rPr>
        <w:t>Arlindo</w:t>
      </w:r>
      <w:proofErr w:type="spellEnd"/>
      <w:r>
        <w:rPr>
          <w:color w:val="000000" w:themeColor="text1"/>
        </w:rPr>
        <w:t xml:space="preserve"> </w:t>
      </w:r>
      <w:proofErr w:type="spellStart"/>
      <w:r>
        <w:rPr>
          <w:color w:val="000000" w:themeColor="text1"/>
        </w:rPr>
        <w:t>da</w:t>
      </w:r>
      <w:proofErr w:type="spellEnd"/>
      <w:r>
        <w:rPr>
          <w:color w:val="000000" w:themeColor="text1"/>
        </w:rPr>
        <w:t xml:space="preserve"> Silva,</w:t>
      </w:r>
      <w:r w:rsidR="00FD23CA">
        <w:rPr>
          <w:color w:val="000000" w:themeColor="text1"/>
        </w:rPr>
        <w:t xml:space="preserve"> helps to see if different</w:t>
      </w:r>
      <w:r w:rsidRPr="00090BD8">
        <w:rPr>
          <w:color w:val="000000" w:themeColor="text1"/>
        </w:rPr>
        <w:t xml:space="preserve"> </w:t>
      </w:r>
      <w:r w:rsidR="00FD23CA">
        <w:rPr>
          <w:color w:val="000000" w:themeColor="text1"/>
        </w:rPr>
        <w:t xml:space="preserve">types of observations </w:t>
      </w:r>
      <w:r w:rsidRPr="00090BD8">
        <w:rPr>
          <w:color w:val="000000" w:themeColor="text1"/>
        </w:rPr>
        <w:t xml:space="preserve">are </w:t>
      </w:r>
      <w:r w:rsidR="00CC4189">
        <w:rPr>
          <w:color w:val="000000" w:themeColor="text1"/>
        </w:rPr>
        <w:t>providing conflicting information to the analysis</w:t>
      </w:r>
      <w:r w:rsidRPr="00090BD8">
        <w:rPr>
          <w:color w:val="000000" w:themeColor="text1"/>
        </w:rPr>
        <w:t>.</w:t>
      </w:r>
    </w:p>
    <w:p w:rsidR="00090BD8" w:rsidRPr="002F2FEB" w:rsidRDefault="00090BD8" w:rsidP="002F2FEB">
      <w:pPr>
        <w:tabs>
          <w:tab w:val="num" w:pos="990"/>
        </w:tabs>
        <w:jc w:val="center"/>
      </w:pPr>
    </w:p>
    <w:p w:rsidR="009A19C2" w:rsidRDefault="008F088C" w:rsidP="00C77326">
      <w:r>
        <w:t xml:space="preserve">The workshop </w:t>
      </w:r>
      <w:r w:rsidR="00C55D51">
        <w:t xml:space="preserve">participants </w:t>
      </w:r>
      <w:r>
        <w:t>also proposed the identification of important metrics to assess reanal</w:t>
      </w:r>
      <w:r w:rsidR="009B1250">
        <w:t>ysis quality, beyond NWP skill.</w:t>
      </w:r>
    </w:p>
    <w:p w:rsidR="008F088C" w:rsidRDefault="009A19C2" w:rsidP="0010261B">
      <w:pPr>
        <w:pStyle w:val="Heading2"/>
      </w:pPr>
      <w:r>
        <w:t>Standard Intercomparisons and Benchmarks Including Community I</w:t>
      </w:r>
      <w:r w:rsidR="00942B30">
        <w:t xml:space="preserve">nvolvement </w:t>
      </w:r>
    </w:p>
    <w:p w:rsidR="001B702E" w:rsidRPr="0061693A" w:rsidRDefault="008F088C" w:rsidP="008F088C">
      <w:pPr>
        <w:rPr>
          <w:color w:val="FF0000"/>
        </w:rPr>
      </w:pPr>
      <w:proofErr w:type="gramStart"/>
      <w:r w:rsidRPr="0061693A">
        <w:rPr>
          <w:color w:val="FF0000"/>
        </w:rPr>
        <w:t>Something from Gil</w:t>
      </w:r>
      <w:r w:rsidR="00942B30" w:rsidRPr="0061693A">
        <w:rPr>
          <w:color w:val="FF0000"/>
        </w:rPr>
        <w:t xml:space="preserve"> on reanalysis.org</w:t>
      </w:r>
      <w:r w:rsidRPr="0061693A">
        <w:rPr>
          <w:color w:val="FF0000"/>
        </w:rPr>
        <w:t>??</w:t>
      </w:r>
      <w:proofErr w:type="gramEnd"/>
    </w:p>
    <w:p w:rsidR="00373FC4" w:rsidRDefault="001B702E" w:rsidP="0010261B">
      <w:pPr>
        <w:pStyle w:val="Heading2"/>
      </w:pPr>
      <w:r>
        <w:t xml:space="preserve">Coordinating Ancillary Products: Accessible Assimilated Observations and Statistics </w:t>
      </w:r>
    </w:p>
    <w:p w:rsidR="00EB6300" w:rsidRDefault="00C55D51" w:rsidP="00373FC4">
      <w:r>
        <w:t xml:space="preserve">Making progress in understanding the (possibly different) sensitivities of the different systems to changes in the observing system, or (for example) identifying any benefits from prior cross-calibration of different satellites, will take a concerted effort at comparing information in the ancillary “data” generated through the process of assimilation:  innovations, bias corrections, outcomes of data selection algorithms, cloud detection outcomes, etc. In addition, examination of gridded feedback files and contextual bias analyses should be helpful to understand how the data are impacting the system performance. </w:t>
      </w:r>
    </w:p>
    <w:p w:rsidR="00EB6300" w:rsidRDefault="00EB6300" w:rsidP="00EB6300">
      <w:pPr>
        <w:pStyle w:val="Heading2"/>
      </w:pPr>
      <w:r>
        <w:t>Moving Forward</w:t>
      </w:r>
    </w:p>
    <w:p w:rsidR="00C55D51" w:rsidRDefault="00C55D51" w:rsidP="00373FC4"/>
    <w:p w:rsidR="00CC4189" w:rsidRDefault="00C55D51" w:rsidP="00373FC4">
      <w:r>
        <w:t xml:space="preserve">Workshop participants agreed to identify a small group to coordinate </w:t>
      </w:r>
      <w:r w:rsidR="0061693A">
        <w:t xml:space="preserve">such an effort </w:t>
      </w:r>
      <w:r>
        <w:t xml:space="preserve">between the centers. </w:t>
      </w:r>
    </w:p>
    <w:p w:rsidR="00CC4189" w:rsidRPr="0061693A" w:rsidRDefault="00CC4189" w:rsidP="00CC4189">
      <w:pPr>
        <w:rPr>
          <w:color w:val="FF0000"/>
        </w:rPr>
      </w:pPr>
      <w:r>
        <w:rPr>
          <w:color w:val="FF0000"/>
        </w:rPr>
        <w:t>What more can we say</w:t>
      </w:r>
      <w:r w:rsidRPr="0061693A">
        <w:rPr>
          <w:color w:val="FF0000"/>
        </w:rPr>
        <w:t>??</w:t>
      </w:r>
      <w:r>
        <w:rPr>
          <w:color w:val="FF0000"/>
        </w:rPr>
        <w:t xml:space="preserve">  Identify people to undertake some initial </w:t>
      </w:r>
      <w:r w:rsidR="00FD23CA">
        <w:rPr>
          <w:color w:val="FF0000"/>
        </w:rPr>
        <w:t>sensitivity experiments? Common diagnostics?</w:t>
      </w:r>
    </w:p>
    <w:p w:rsidR="00C55D51" w:rsidRDefault="00C55D51" w:rsidP="00373FC4"/>
    <w:p w:rsidR="009A19C2" w:rsidRPr="00373FC4" w:rsidRDefault="009A19C2" w:rsidP="00373FC4"/>
    <w:p w:rsidR="00DC1251" w:rsidRDefault="00826478" w:rsidP="0010261B">
      <w:pPr>
        <w:pStyle w:val="Heading1"/>
      </w:pPr>
      <w:r>
        <w:t>References</w:t>
      </w:r>
    </w:p>
    <w:p w:rsidR="001125AC" w:rsidRPr="00C3716C" w:rsidRDefault="006024E9" w:rsidP="00C75038">
      <w:pPr>
        <w:spacing w:after="120"/>
        <w:ind w:left="360" w:hanging="360"/>
        <w:rPr>
          <w:color w:val="FF0000"/>
        </w:rPr>
      </w:pPr>
      <w:proofErr w:type="spellStart"/>
      <w:r w:rsidRPr="00C3716C">
        <w:rPr>
          <w:color w:val="FF0000"/>
        </w:rPr>
        <w:t>Balish</w:t>
      </w:r>
      <w:proofErr w:type="spellEnd"/>
      <w:r w:rsidRPr="00C3716C">
        <w:rPr>
          <w:color w:val="FF0000"/>
        </w:rPr>
        <w:t xml:space="preserve"> and Kumar, 2008:</w:t>
      </w:r>
    </w:p>
    <w:p w:rsidR="001125AC" w:rsidRDefault="001125AC" w:rsidP="00C75038">
      <w:pPr>
        <w:spacing w:after="120"/>
        <w:ind w:left="360" w:hanging="360"/>
      </w:pPr>
      <w:r w:rsidRPr="001125AC">
        <w:t xml:space="preserve">M. </w:t>
      </w:r>
      <w:proofErr w:type="spellStart"/>
      <w:r w:rsidRPr="001125AC">
        <w:t>Bosilovich</w:t>
      </w:r>
      <w:proofErr w:type="spellEnd"/>
      <w:r w:rsidRPr="001125AC">
        <w:t xml:space="preserve">, J. Chen, F. R. </w:t>
      </w:r>
      <w:r>
        <w:t>Robertson and R. F. Adler, 2008:</w:t>
      </w:r>
      <w:r w:rsidRPr="001125AC">
        <w:t xml:space="preserve"> </w:t>
      </w:r>
      <w:r w:rsidRPr="001125AC">
        <w:rPr>
          <w:bCs/>
        </w:rPr>
        <w:t>Evaluation of Global Precipitation in Reanalyses</w:t>
      </w:r>
      <w:r w:rsidRPr="001125AC">
        <w:t xml:space="preserve">. </w:t>
      </w:r>
      <w:r>
        <w:rPr>
          <w:i/>
          <w:iCs/>
        </w:rPr>
        <w:t xml:space="preserve">J. Appl. </w:t>
      </w:r>
      <w:proofErr w:type="spellStart"/>
      <w:r>
        <w:rPr>
          <w:i/>
          <w:iCs/>
        </w:rPr>
        <w:t>Meteorol</w:t>
      </w:r>
      <w:proofErr w:type="spellEnd"/>
      <w:r>
        <w:rPr>
          <w:i/>
          <w:iCs/>
        </w:rPr>
        <w:t xml:space="preserve">. </w:t>
      </w:r>
      <w:proofErr w:type="spellStart"/>
      <w:r>
        <w:rPr>
          <w:i/>
          <w:iCs/>
        </w:rPr>
        <w:t>Climatol</w:t>
      </w:r>
      <w:proofErr w:type="spellEnd"/>
      <w:proofErr w:type="gramStart"/>
      <w:r w:rsidRPr="001125AC">
        <w:t>.</w:t>
      </w:r>
      <w:r>
        <w:t>,</w:t>
      </w:r>
      <w:proofErr w:type="gramEnd"/>
      <w:r>
        <w:t xml:space="preserve"> </w:t>
      </w:r>
      <w:r w:rsidRPr="001125AC">
        <w:rPr>
          <w:b/>
        </w:rPr>
        <w:t>47</w:t>
      </w:r>
      <w:r w:rsidRPr="001125AC">
        <w:t>, 2279–2299</w:t>
      </w:r>
      <w:r>
        <w:t>.</w:t>
      </w:r>
    </w:p>
    <w:p w:rsidR="002A4F68" w:rsidRDefault="00164FA0" w:rsidP="00C75038">
      <w:pPr>
        <w:spacing w:after="120"/>
        <w:ind w:left="360" w:hanging="360"/>
      </w:pPr>
      <w:proofErr w:type="spellStart"/>
      <w:r w:rsidRPr="00164FA0">
        <w:t>Brohan</w:t>
      </w:r>
      <w:proofErr w:type="spellEnd"/>
      <w:r w:rsidRPr="00164FA0">
        <w:t xml:space="preserve">, P., J.J. Kennedy, I. Harris, S.F.B. </w:t>
      </w:r>
      <w:proofErr w:type="spellStart"/>
      <w:r w:rsidRPr="00164FA0">
        <w:t>Tett</w:t>
      </w:r>
      <w:proofErr w:type="spellEnd"/>
      <w:r w:rsidRPr="00164FA0">
        <w:t xml:space="preserve"> and P.D. Jones, 2006: Uncertainty estimates in regional and global observed temperature changes: a new dataset from 1850. </w:t>
      </w:r>
      <w:r>
        <w:rPr>
          <w:i/>
          <w:iCs/>
        </w:rPr>
        <w:t xml:space="preserve">J. </w:t>
      </w:r>
      <w:proofErr w:type="spellStart"/>
      <w:r>
        <w:rPr>
          <w:i/>
          <w:iCs/>
        </w:rPr>
        <w:t>Geophys</w:t>
      </w:r>
      <w:proofErr w:type="spellEnd"/>
      <w:r>
        <w:rPr>
          <w:i/>
          <w:iCs/>
        </w:rPr>
        <w:t>. Res.,</w:t>
      </w:r>
      <w:r w:rsidRPr="00164FA0">
        <w:t xml:space="preserve"> </w:t>
      </w:r>
      <w:r w:rsidRPr="00164FA0">
        <w:rPr>
          <w:b/>
          <w:bCs/>
        </w:rPr>
        <w:t>111</w:t>
      </w:r>
      <w:r w:rsidRPr="00164FA0">
        <w:t xml:space="preserve">, D12106, </w:t>
      </w:r>
      <w:hyperlink r:id="rId45" w:history="1">
        <w:r w:rsidRPr="00164FA0">
          <w:rPr>
            <w:rStyle w:val="Hyperlink"/>
          </w:rPr>
          <w:t>doi</w:t>
        </w:r>
        <w:proofErr w:type="gramStart"/>
        <w:r w:rsidRPr="00164FA0">
          <w:rPr>
            <w:rStyle w:val="Hyperlink"/>
          </w:rPr>
          <w:t>:10.1029</w:t>
        </w:r>
        <w:proofErr w:type="gramEnd"/>
        <w:r w:rsidRPr="00164FA0">
          <w:rPr>
            <w:rStyle w:val="Hyperlink"/>
          </w:rPr>
          <w:t>/2005JD006548</w:t>
        </w:r>
      </w:hyperlink>
      <w:r>
        <w:t>.</w:t>
      </w:r>
    </w:p>
    <w:p w:rsidR="00164FA0" w:rsidRPr="00C3716C" w:rsidRDefault="002A4F68" w:rsidP="00C75038">
      <w:pPr>
        <w:spacing w:after="120"/>
        <w:ind w:left="360" w:hanging="360"/>
        <w:rPr>
          <w:color w:val="FF0000"/>
        </w:rPr>
      </w:pPr>
      <w:proofErr w:type="spellStart"/>
      <w:r w:rsidRPr="00C3716C">
        <w:rPr>
          <w:color w:val="FF0000"/>
        </w:rPr>
        <w:t>Buehner</w:t>
      </w:r>
      <w:proofErr w:type="spellEnd"/>
    </w:p>
    <w:p w:rsidR="003A691C" w:rsidRPr="00C75038" w:rsidRDefault="003A691C" w:rsidP="00C75038">
      <w:pPr>
        <w:spacing w:after="120"/>
        <w:ind w:left="360" w:hanging="360"/>
        <w:rPr>
          <w:bCs/>
        </w:rPr>
      </w:pPr>
      <w:r>
        <w:t>Dee, D.</w:t>
      </w:r>
      <w:r w:rsidR="00C75038">
        <w:t>P.</w:t>
      </w:r>
      <w:r>
        <w:t xml:space="preserve">, and S. </w:t>
      </w:r>
      <w:proofErr w:type="spellStart"/>
      <w:r>
        <w:t>Uppala</w:t>
      </w:r>
      <w:proofErr w:type="spellEnd"/>
      <w:r>
        <w:t>, 2009:</w:t>
      </w:r>
      <w:r w:rsidR="00C75038">
        <w:t xml:space="preserve"> </w:t>
      </w:r>
      <w:r w:rsidR="00C75038" w:rsidRPr="00C75038">
        <w:rPr>
          <w:bCs/>
        </w:rPr>
        <w:t>Variational bias correction of satellite radiance data in the</w:t>
      </w:r>
      <w:r w:rsidR="00C75038">
        <w:rPr>
          <w:bCs/>
        </w:rPr>
        <w:t xml:space="preserve"> </w:t>
      </w:r>
      <w:r w:rsidR="00C75038" w:rsidRPr="00C75038">
        <w:rPr>
          <w:bCs/>
        </w:rPr>
        <w:t>ERA-Interim reanalysis.</w:t>
      </w:r>
      <w:r w:rsidR="00C75038" w:rsidRPr="00C75038">
        <w:t xml:space="preserve"> </w:t>
      </w:r>
      <w:r w:rsidR="00C75038" w:rsidRPr="00C75038">
        <w:rPr>
          <w:i/>
          <w:iCs/>
        </w:rPr>
        <w:t xml:space="preserve">Q. J. R. </w:t>
      </w:r>
      <w:proofErr w:type="spellStart"/>
      <w:r w:rsidR="00C75038" w:rsidRPr="00C75038">
        <w:rPr>
          <w:i/>
          <w:iCs/>
        </w:rPr>
        <w:t>Meteorol</w:t>
      </w:r>
      <w:proofErr w:type="spellEnd"/>
      <w:r w:rsidR="00C75038" w:rsidRPr="00C75038">
        <w:rPr>
          <w:i/>
          <w:iCs/>
        </w:rPr>
        <w:t>. Soc.</w:t>
      </w:r>
      <w:r w:rsidR="00C75038" w:rsidRPr="00C75038">
        <w:rPr>
          <w:iCs/>
        </w:rPr>
        <w:t>,</w:t>
      </w:r>
      <w:r w:rsidR="00C75038" w:rsidRPr="00C75038">
        <w:rPr>
          <w:i/>
          <w:iCs/>
        </w:rPr>
        <w:t xml:space="preserve"> </w:t>
      </w:r>
      <w:r w:rsidR="00C75038" w:rsidRPr="00C75038">
        <w:rPr>
          <w:b/>
          <w:bCs/>
        </w:rPr>
        <w:t>135</w:t>
      </w:r>
      <w:r w:rsidR="00C75038" w:rsidRPr="00C75038">
        <w:t>, 1830–1841</w:t>
      </w:r>
      <w:r w:rsidR="00C75038">
        <w:t>.</w:t>
      </w:r>
    </w:p>
    <w:p w:rsidR="000C2E8B" w:rsidRDefault="000C2E8B" w:rsidP="000C2E8B">
      <w:pPr>
        <w:spacing w:after="120"/>
        <w:ind w:left="360" w:hanging="360"/>
      </w:pPr>
      <w:r>
        <w:t>Douglass, A.R., C.J. Weaver, R.</w:t>
      </w:r>
      <w:r w:rsidRPr="000C2E8B">
        <w:t xml:space="preserve">B. Rood, </w:t>
      </w:r>
      <w:r>
        <w:t xml:space="preserve">and </w:t>
      </w:r>
      <w:r w:rsidRPr="000C2E8B">
        <w:t>L. Coy,</w:t>
      </w:r>
      <w:r>
        <w:t xml:space="preserve"> 1996:</w:t>
      </w:r>
      <w:r w:rsidRPr="000C2E8B">
        <w:t xml:space="preserve"> A three-dimensional</w:t>
      </w:r>
      <w:r>
        <w:t xml:space="preserve"> </w:t>
      </w:r>
      <w:r w:rsidRPr="000C2E8B">
        <w:t>simulation of the ozone annual cycle using winds from a data assimilation</w:t>
      </w:r>
      <w:r>
        <w:t xml:space="preserve"> </w:t>
      </w:r>
      <w:r w:rsidRPr="000C2E8B">
        <w:t xml:space="preserve">system, </w:t>
      </w:r>
      <w:r>
        <w:rPr>
          <w:i/>
          <w:iCs/>
        </w:rPr>
        <w:t xml:space="preserve">J. </w:t>
      </w:r>
      <w:proofErr w:type="spellStart"/>
      <w:r>
        <w:rPr>
          <w:i/>
          <w:iCs/>
        </w:rPr>
        <w:t>Geophys</w:t>
      </w:r>
      <w:proofErr w:type="spellEnd"/>
      <w:r>
        <w:rPr>
          <w:i/>
          <w:iCs/>
        </w:rPr>
        <w:t xml:space="preserve">. Res., </w:t>
      </w:r>
      <w:r w:rsidRPr="000C2E8B">
        <w:rPr>
          <w:b/>
          <w:iCs/>
        </w:rPr>
        <w:t>101</w:t>
      </w:r>
      <w:r w:rsidRPr="000C2E8B">
        <w:t>, 14</w:t>
      </w:r>
      <w:r>
        <w:t xml:space="preserve">63-1474, </w:t>
      </w:r>
      <w:proofErr w:type="spellStart"/>
      <w:r>
        <w:t>doi</w:t>
      </w:r>
      <w:proofErr w:type="spellEnd"/>
      <w:r>
        <w:t>: 10.1029/95JD02601</w:t>
      </w:r>
      <w:r w:rsidRPr="000C2E8B">
        <w:t>.</w:t>
      </w:r>
    </w:p>
    <w:p w:rsidR="00E41F12" w:rsidRDefault="00E41F12" w:rsidP="000C2E8B">
      <w:pPr>
        <w:spacing w:after="120"/>
        <w:ind w:left="360" w:hanging="360"/>
      </w:pPr>
      <w:proofErr w:type="spellStart"/>
      <w:r>
        <w:t>Gaspari</w:t>
      </w:r>
      <w:proofErr w:type="spellEnd"/>
      <w:r>
        <w:t xml:space="preserve">, </w:t>
      </w:r>
      <w:r w:rsidR="00826478">
        <w:t xml:space="preserve">G., </w:t>
      </w:r>
      <w:r>
        <w:t xml:space="preserve">S.E. Cohn, J. </w:t>
      </w:r>
      <w:proofErr w:type="spellStart"/>
      <w:r>
        <w:t>Guo</w:t>
      </w:r>
      <w:proofErr w:type="spellEnd"/>
      <w:r>
        <w:t xml:space="preserve">, </w:t>
      </w:r>
      <w:r w:rsidR="00826478">
        <w:t xml:space="preserve">and </w:t>
      </w:r>
      <w:r>
        <w:t xml:space="preserve">S. </w:t>
      </w:r>
      <w:proofErr w:type="spellStart"/>
      <w:r>
        <w:t>Pawson</w:t>
      </w:r>
      <w:proofErr w:type="spellEnd"/>
      <w:r w:rsidR="00826478">
        <w:t>, 2006</w:t>
      </w:r>
      <w:r>
        <w:t xml:space="preserve">: </w:t>
      </w:r>
      <w:r w:rsidRPr="00826478">
        <w:rPr>
          <w:iCs/>
        </w:rPr>
        <w:t>Construction and Application of Covariance Functions with Variable Length Fields.</w:t>
      </w:r>
      <w:r w:rsidRPr="00826478">
        <w:t xml:space="preserve">  </w:t>
      </w:r>
      <w:r w:rsidRPr="00826478">
        <w:rPr>
          <w:i/>
        </w:rPr>
        <w:t xml:space="preserve">Q. J. Roy. </w:t>
      </w:r>
      <w:proofErr w:type="spellStart"/>
      <w:r w:rsidRPr="00826478">
        <w:rPr>
          <w:i/>
        </w:rPr>
        <w:t>Meteorol</w:t>
      </w:r>
      <w:proofErr w:type="spellEnd"/>
      <w:r w:rsidRPr="00826478">
        <w:rPr>
          <w:i/>
        </w:rPr>
        <w:t xml:space="preserve">. </w:t>
      </w:r>
      <w:proofErr w:type="gramStart"/>
      <w:r w:rsidRPr="00826478">
        <w:rPr>
          <w:i/>
        </w:rPr>
        <w:t>Soc</w:t>
      </w:r>
      <w:r>
        <w:t xml:space="preserve">., </w:t>
      </w:r>
      <w:r w:rsidRPr="000E6AAC">
        <w:rPr>
          <w:b/>
        </w:rPr>
        <w:t>132</w:t>
      </w:r>
      <w:r w:rsidR="00826478">
        <w:t>, 1815-1838</w:t>
      </w:r>
      <w:r>
        <w:t>.</w:t>
      </w:r>
      <w:proofErr w:type="gramEnd"/>
    </w:p>
    <w:p w:rsidR="00E773F7" w:rsidRDefault="00826478" w:rsidP="00826478">
      <w:pPr>
        <w:spacing w:after="120"/>
        <w:ind w:left="360" w:hanging="360"/>
      </w:pPr>
      <w:r>
        <w:t xml:space="preserve">G.L. </w:t>
      </w:r>
      <w:proofErr w:type="spellStart"/>
      <w:r>
        <w:t>Manney</w:t>
      </w:r>
      <w:proofErr w:type="spellEnd"/>
      <w:r>
        <w:t xml:space="preserve">, K. Krueger, S. </w:t>
      </w:r>
      <w:proofErr w:type="spellStart"/>
      <w:r w:rsidR="00E41F12" w:rsidRPr="00E931E1">
        <w:t>Pawson</w:t>
      </w:r>
      <w:proofErr w:type="spellEnd"/>
      <w:r w:rsidR="00E41F12" w:rsidRPr="00E931E1">
        <w:t xml:space="preserve">, M.J. Schwartz, W.H. </w:t>
      </w:r>
      <w:proofErr w:type="spellStart"/>
      <w:r w:rsidR="00E41F12" w:rsidRPr="00E931E1">
        <w:t>Daffer</w:t>
      </w:r>
      <w:proofErr w:type="spellEnd"/>
      <w:r w:rsidR="00E41F12" w:rsidRPr="00E931E1">
        <w:t xml:space="preserve">, N.J. </w:t>
      </w:r>
      <w:proofErr w:type="spellStart"/>
      <w:r w:rsidR="00E41F12" w:rsidRPr="00E931E1">
        <w:t>Livesey</w:t>
      </w:r>
      <w:proofErr w:type="spellEnd"/>
      <w:r w:rsidR="00E41F12" w:rsidRPr="00E931E1">
        <w:t xml:space="preserve">, M.G. </w:t>
      </w:r>
      <w:proofErr w:type="spellStart"/>
      <w:r w:rsidR="00E41F12" w:rsidRPr="00E931E1">
        <w:t>Mlynczak</w:t>
      </w:r>
      <w:proofErr w:type="spellEnd"/>
      <w:r w:rsidR="00E41F12" w:rsidRPr="00E931E1">
        <w:t xml:space="preserve">, E.E. </w:t>
      </w:r>
      <w:proofErr w:type="spellStart"/>
      <w:r w:rsidR="00E41F12" w:rsidRPr="00E931E1">
        <w:t>Remsberg</w:t>
      </w:r>
      <w:proofErr w:type="spellEnd"/>
      <w:r w:rsidR="00E41F12" w:rsidRPr="00E931E1">
        <w:t xml:space="preserve">, J.M. Russell III, </w:t>
      </w:r>
      <w:r>
        <w:t xml:space="preserve">and </w:t>
      </w:r>
      <w:r w:rsidR="00E41F12" w:rsidRPr="00E931E1">
        <w:t>J.W. Waters</w:t>
      </w:r>
      <w:r>
        <w:t>, 2008</w:t>
      </w:r>
      <w:r w:rsidR="00E41F12" w:rsidRPr="00E931E1">
        <w:t xml:space="preserve">: </w:t>
      </w:r>
      <w:r w:rsidR="00E41F12" w:rsidRPr="00826478">
        <w:t>The Evolution of the Stratopause During the 2006 Major Warming: Satellite data and Assimilated Meteorological Analyses</w:t>
      </w:r>
      <w:r w:rsidRPr="00826478">
        <w:t>.</w:t>
      </w:r>
      <w:r w:rsidR="00E41F12" w:rsidRPr="00826478">
        <w:rPr>
          <w:color w:val="000000"/>
        </w:rPr>
        <w:t xml:space="preserve"> </w:t>
      </w:r>
      <w:r w:rsidR="00E41F12" w:rsidRPr="00826478">
        <w:rPr>
          <w:i/>
          <w:color w:val="000000"/>
        </w:rPr>
        <w:t xml:space="preserve">J. </w:t>
      </w:r>
      <w:proofErr w:type="spellStart"/>
      <w:r w:rsidR="00E41F12" w:rsidRPr="00826478">
        <w:rPr>
          <w:i/>
          <w:color w:val="000000"/>
        </w:rPr>
        <w:t>Geophys</w:t>
      </w:r>
      <w:proofErr w:type="spellEnd"/>
      <w:r w:rsidR="00E41F12" w:rsidRPr="00826478">
        <w:rPr>
          <w:i/>
          <w:color w:val="000000"/>
        </w:rPr>
        <w:t>. Res</w:t>
      </w:r>
      <w:r w:rsidR="00E41F12" w:rsidRPr="00E931E1">
        <w:rPr>
          <w:color w:val="000000"/>
        </w:rPr>
        <w:t xml:space="preserve">., </w:t>
      </w:r>
      <w:r w:rsidR="00E41F12" w:rsidRPr="00E931E1">
        <w:rPr>
          <w:b/>
          <w:color w:val="000000"/>
        </w:rPr>
        <w:t>113</w:t>
      </w:r>
      <w:r w:rsidR="00E41F12" w:rsidRPr="00E931E1">
        <w:rPr>
          <w:color w:val="000000"/>
        </w:rPr>
        <w:t xml:space="preserve">, D11115, </w:t>
      </w:r>
      <w:proofErr w:type="spellStart"/>
      <w:r w:rsidR="00E41F12" w:rsidRPr="00E931E1">
        <w:rPr>
          <w:color w:val="000000"/>
        </w:rPr>
        <w:t>doi</w:t>
      </w:r>
      <w:proofErr w:type="spellEnd"/>
      <w:r w:rsidR="00E41F12" w:rsidRPr="00E931E1">
        <w:rPr>
          <w:color w:val="000000"/>
        </w:rPr>
        <w:t>:</w:t>
      </w:r>
      <w:r w:rsidR="000C2E8B">
        <w:rPr>
          <w:color w:val="000000"/>
        </w:rPr>
        <w:t xml:space="preserve"> </w:t>
      </w:r>
      <w:r w:rsidR="00E41F12" w:rsidRPr="00E931E1">
        <w:rPr>
          <w:color w:val="000000"/>
        </w:rPr>
        <w:t>10.1029/2007JD009097</w:t>
      </w:r>
      <w:r w:rsidR="00E41F12" w:rsidRPr="00E931E1">
        <w:t>.</w:t>
      </w:r>
    </w:p>
    <w:p w:rsidR="005F52C0" w:rsidRDefault="00E773F7" w:rsidP="00826478">
      <w:pPr>
        <w:spacing w:after="120"/>
        <w:ind w:left="360" w:hanging="360"/>
        <w:rPr>
          <w:bCs/>
        </w:rPr>
      </w:pPr>
      <w:proofErr w:type="spellStart"/>
      <w:r>
        <w:t>Haimberger</w:t>
      </w:r>
      <w:proofErr w:type="spellEnd"/>
      <w:r>
        <w:t>, L., 2007:</w:t>
      </w:r>
      <w:r w:rsidR="005F52C0">
        <w:t xml:space="preserve"> </w:t>
      </w:r>
      <w:r w:rsidR="005F52C0">
        <w:rPr>
          <w:bCs/>
        </w:rPr>
        <w:t>Homogenization of radiosonde temperature time series using innovation s</w:t>
      </w:r>
      <w:r w:rsidR="005F52C0" w:rsidRPr="005F52C0">
        <w:rPr>
          <w:bCs/>
        </w:rPr>
        <w:t>tatistics</w:t>
      </w:r>
      <w:r w:rsidR="005F52C0">
        <w:rPr>
          <w:bCs/>
        </w:rPr>
        <w:t xml:space="preserve">.  </w:t>
      </w:r>
      <w:r w:rsidR="005F52C0">
        <w:rPr>
          <w:bCs/>
          <w:i/>
        </w:rPr>
        <w:t xml:space="preserve">J. </w:t>
      </w:r>
      <w:proofErr w:type="spellStart"/>
      <w:r w:rsidR="005F52C0">
        <w:rPr>
          <w:bCs/>
          <w:i/>
        </w:rPr>
        <w:t>Clim</w:t>
      </w:r>
      <w:proofErr w:type="spellEnd"/>
      <w:proofErr w:type="gramStart"/>
      <w:r w:rsidR="005F52C0">
        <w:rPr>
          <w:bCs/>
          <w:i/>
        </w:rPr>
        <w:t>.</w:t>
      </w:r>
      <w:r w:rsidR="005F52C0">
        <w:rPr>
          <w:bCs/>
        </w:rPr>
        <w:t>,</w:t>
      </w:r>
      <w:proofErr w:type="gramEnd"/>
      <w:r w:rsidR="005F52C0">
        <w:rPr>
          <w:bCs/>
        </w:rPr>
        <w:t xml:space="preserve"> </w:t>
      </w:r>
      <w:r w:rsidR="005F52C0">
        <w:rPr>
          <w:b/>
          <w:bCs/>
        </w:rPr>
        <w:t>20</w:t>
      </w:r>
      <w:r w:rsidR="005F52C0">
        <w:rPr>
          <w:bCs/>
        </w:rPr>
        <w:t>, 1377-1403.</w:t>
      </w:r>
    </w:p>
    <w:p w:rsidR="00E41F12" w:rsidRPr="005F52C0" w:rsidRDefault="005F52C0" w:rsidP="005F52C0">
      <w:pPr>
        <w:spacing w:after="120"/>
        <w:ind w:left="360" w:hanging="360"/>
        <w:rPr>
          <w:bCs/>
        </w:rPr>
      </w:pPr>
      <w:proofErr w:type="spellStart"/>
      <w:r>
        <w:rPr>
          <w:bCs/>
        </w:rPr>
        <w:t>Haimberger</w:t>
      </w:r>
      <w:proofErr w:type="spellEnd"/>
      <w:r>
        <w:rPr>
          <w:bCs/>
        </w:rPr>
        <w:t xml:space="preserve">, L., C. </w:t>
      </w:r>
      <w:proofErr w:type="spellStart"/>
      <w:r>
        <w:rPr>
          <w:bCs/>
        </w:rPr>
        <w:t>Tavolato</w:t>
      </w:r>
      <w:proofErr w:type="spellEnd"/>
      <w:r>
        <w:rPr>
          <w:bCs/>
        </w:rPr>
        <w:t xml:space="preserve">, and S. </w:t>
      </w:r>
      <w:proofErr w:type="spellStart"/>
      <w:r>
        <w:rPr>
          <w:bCs/>
        </w:rPr>
        <w:t>Sperka</w:t>
      </w:r>
      <w:proofErr w:type="spellEnd"/>
      <w:r>
        <w:rPr>
          <w:bCs/>
        </w:rPr>
        <w:t>, 2008: Toward elimination of the warm bias in historic radiosonde t</w:t>
      </w:r>
      <w:r w:rsidRPr="005F52C0">
        <w:rPr>
          <w:bCs/>
        </w:rPr>
        <w:t xml:space="preserve">emperature </w:t>
      </w:r>
      <w:r>
        <w:rPr>
          <w:bCs/>
        </w:rPr>
        <w:t>r</w:t>
      </w:r>
      <w:r w:rsidRPr="005F52C0">
        <w:rPr>
          <w:bCs/>
        </w:rPr>
        <w:t>ecords—</w:t>
      </w:r>
      <w:r>
        <w:rPr>
          <w:bCs/>
        </w:rPr>
        <w:t>Some new results from a comprehensive i</w:t>
      </w:r>
      <w:r w:rsidRPr="005F52C0">
        <w:rPr>
          <w:bCs/>
        </w:rPr>
        <w:t xml:space="preserve">ntercomparison of </w:t>
      </w:r>
      <w:r>
        <w:rPr>
          <w:bCs/>
        </w:rPr>
        <w:t>upper-air d</w:t>
      </w:r>
      <w:r w:rsidRPr="005F52C0">
        <w:rPr>
          <w:bCs/>
        </w:rPr>
        <w:t>ata</w:t>
      </w:r>
      <w:r>
        <w:rPr>
          <w:bCs/>
        </w:rPr>
        <w:t xml:space="preserve">. </w:t>
      </w:r>
      <w:r>
        <w:rPr>
          <w:bCs/>
          <w:i/>
        </w:rPr>
        <w:t xml:space="preserve">J. </w:t>
      </w:r>
      <w:proofErr w:type="spellStart"/>
      <w:r>
        <w:rPr>
          <w:bCs/>
          <w:i/>
        </w:rPr>
        <w:t>Clim</w:t>
      </w:r>
      <w:proofErr w:type="spellEnd"/>
      <w:proofErr w:type="gramStart"/>
      <w:r>
        <w:rPr>
          <w:bCs/>
          <w:i/>
        </w:rPr>
        <w:t>.</w:t>
      </w:r>
      <w:r>
        <w:rPr>
          <w:bCs/>
        </w:rPr>
        <w:t>,</w:t>
      </w:r>
      <w:proofErr w:type="gramEnd"/>
      <w:r>
        <w:rPr>
          <w:bCs/>
        </w:rPr>
        <w:t xml:space="preserve"> </w:t>
      </w:r>
      <w:r>
        <w:rPr>
          <w:b/>
          <w:bCs/>
        </w:rPr>
        <w:t>21</w:t>
      </w:r>
      <w:r>
        <w:rPr>
          <w:bCs/>
        </w:rPr>
        <w:t>, 4587-4606.</w:t>
      </w:r>
    </w:p>
    <w:p w:rsidR="00E41F12" w:rsidRDefault="00DC1251" w:rsidP="00826478">
      <w:pPr>
        <w:spacing w:after="120"/>
        <w:ind w:left="360" w:hanging="360"/>
      </w:pPr>
      <w:proofErr w:type="spellStart"/>
      <w:r>
        <w:t>Monge-Sanz</w:t>
      </w:r>
      <w:proofErr w:type="spellEnd"/>
      <w:r>
        <w:t>, B</w:t>
      </w:r>
      <w:r w:rsidR="00826478">
        <w:t>.M.,</w:t>
      </w:r>
      <w:r>
        <w:t xml:space="preserve"> </w:t>
      </w:r>
      <w:r w:rsidR="00826478">
        <w:t xml:space="preserve">M.P. </w:t>
      </w:r>
      <w:proofErr w:type="spellStart"/>
      <w:r w:rsidR="00826478">
        <w:t>Chipperfield</w:t>
      </w:r>
      <w:proofErr w:type="spellEnd"/>
      <w:r w:rsidR="00826478">
        <w:t xml:space="preserve">, A.J. Simmons, and S.M. </w:t>
      </w:r>
      <w:proofErr w:type="spellStart"/>
      <w:r w:rsidR="00826478">
        <w:t>Uppala</w:t>
      </w:r>
      <w:proofErr w:type="spellEnd"/>
      <w:r w:rsidR="00826478">
        <w:t xml:space="preserve">, 2007: </w:t>
      </w:r>
      <w:r>
        <w:t xml:space="preserve">Mean age of air and transport in a CTM: Comparison of different ECMWF analyses, </w:t>
      </w:r>
      <w:proofErr w:type="spellStart"/>
      <w:r w:rsidR="00826478">
        <w:rPr>
          <w:rStyle w:val="Emphasis"/>
        </w:rPr>
        <w:t>Geophys</w:t>
      </w:r>
      <w:proofErr w:type="spellEnd"/>
      <w:r w:rsidR="00826478">
        <w:rPr>
          <w:rStyle w:val="Emphasis"/>
        </w:rPr>
        <w:t xml:space="preserve">. Res. </w:t>
      </w:r>
      <w:proofErr w:type="spellStart"/>
      <w:r w:rsidR="00826478">
        <w:rPr>
          <w:rStyle w:val="Emphasis"/>
        </w:rPr>
        <w:t>Lett</w:t>
      </w:r>
      <w:proofErr w:type="spellEnd"/>
      <w:proofErr w:type="gramStart"/>
      <w:r w:rsidR="00826478">
        <w:rPr>
          <w:rStyle w:val="Emphasis"/>
        </w:rPr>
        <w:t>.</w:t>
      </w:r>
      <w:r>
        <w:t>,</w:t>
      </w:r>
      <w:proofErr w:type="gramEnd"/>
      <w:r>
        <w:t xml:space="preserve"> </w:t>
      </w:r>
      <w:r>
        <w:rPr>
          <w:rStyle w:val="Strong"/>
        </w:rPr>
        <w:t>34</w:t>
      </w:r>
      <w:r w:rsidR="00826478">
        <w:t>,</w:t>
      </w:r>
      <w:r>
        <w:t xml:space="preserve"> </w:t>
      </w:r>
      <w:hyperlink r:id="rId46" w:history="1">
        <w:r>
          <w:rPr>
            <w:rStyle w:val="Hyperlink"/>
          </w:rPr>
          <w:t>doi:10.1029/2006GL028515</w:t>
        </w:r>
      </w:hyperlink>
    </w:p>
    <w:p w:rsidR="00826478" w:rsidRDefault="00826478" w:rsidP="00826478">
      <w:pPr>
        <w:spacing w:after="120"/>
        <w:ind w:left="360" w:hanging="360"/>
      </w:pPr>
      <w:proofErr w:type="spellStart"/>
      <w:r>
        <w:t>Pawson</w:t>
      </w:r>
      <w:proofErr w:type="spellEnd"/>
      <w:r>
        <w:t xml:space="preserve">, S. and M. </w:t>
      </w:r>
      <w:proofErr w:type="spellStart"/>
      <w:r>
        <w:t>Fiorino</w:t>
      </w:r>
      <w:proofErr w:type="spellEnd"/>
      <w:r>
        <w:t xml:space="preserve">, 1998: </w:t>
      </w:r>
      <w:r w:rsidRPr="00826478">
        <w:rPr>
          <w:iCs/>
        </w:rPr>
        <w:t>The Tropical Lower Stratosphere in Atmospheric Reanalyses. Part 1: Thermal Structure and the Annual Cycle</w:t>
      </w:r>
      <w:r w:rsidRPr="00826478">
        <w:t>.</w:t>
      </w:r>
      <w:r>
        <w:t xml:space="preserve"> </w:t>
      </w:r>
      <w:proofErr w:type="spellStart"/>
      <w:r w:rsidRPr="00826478">
        <w:rPr>
          <w:i/>
        </w:rPr>
        <w:t>Clim</w:t>
      </w:r>
      <w:proofErr w:type="spellEnd"/>
      <w:r w:rsidRPr="00826478">
        <w:rPr>
          <w:i/>
        </w:rPr>
        <w:t xml:space="preserve">. </w:t>
      </w:r>
      <w:proofErr w:type="spellStart"/>
      <w:r w:rsidRPr="00826478">
        <w:rPr>
          <w:i/>
        </w:rPr>
        <w:t>Dyn</w:t>
      </w:r>
      <w:proofErr w:type="spellEnd"/>
      <w:proofErr w:type="gramStart"/>
      <w:r>
        <w:t>.,</w:t>
      </w:r>
      <w:proofErr w:type="gramEnd"/>
      <w:r>
        <w:t xml:space="preserve"> </w:t>
      </w:r>
      <w:r>
        <w:rPr>
          <w:b/>
          <w:bCs/>
        </w:rPr>
        <w:t>14</w:t>
      </w:r>
      <w:r>
        <w:t xml:space="preserve">, 631-644. </w:t>
      </w:r>
    </w:p>
    <w:p w:rsidR="00826478" w:rsidRDefault="00826478" w:rsidP="00826478">
      <w:pPr>
        <w:spacing w:after="120"/>
        <w:ind w:left="360" w:hanging="360"/>
      </w:pPr>
      <w:proofErr w:type="spellStart"/>
      <w:r>
        <w:t>Pawson</w:t>
      </w:r>
      <w:proofErr w:type="spellEnd"/>
      <w:r>
        <w:t>, S.</w:t>
      </w:r>
      <w:r w:rsidR="00E41F12">
        <w:t xml:space="preserve"> </w:t>
      </w:r>
      <w:r>
        <w:t xml:space="preserve">and </w:t>
      </w:r>
      <w:r w:rsidR="00E41F12">
        <w:t xml:space="preserve">M. </w:t>
      </w:r>
      <w:proofErr w:type="spellStart"/>
      <w:r w:rsidR="00E41F12">
        <w:t>Fiorino</w:t>
      </w:r>
      <w:proofErr w:type="spellEnd"/>
      <w:r>
        <w:t>, 1998</w:t>
      </w:r>
      <w:r w:rsidR="00E41F12">
        <w:t xml:space="preserve">: </w:t>
      </w:r>
      <w:r w:rsidR="00E41F12" w:rsidRPr="00826478">
        <w:rPr>
          <w:iCs/>
        </w:rPr>
        <w:t>The Tropical Lower Stratosphere in Atmospheric Reanalyses. Part 2: The Quasi-Biennial Oscillation</w:t>
      </w:r>
      <w:r w:rsidR="00E41F12">
        <w:t xml:space="preserve">. </w:t>
      </w:r>
      <w:proofErr w:type="spellStart"/>
      <w:r w:rsidR="00E41F12" w:rsidRPr="00826478">
        <w:rPr>
          <w:i/>
        </w:rPr>
        <w:t>Clim</w:t>
      </w:r>
      <w:proofErr w:type="spellEnd"/>
      <w:r w:rsidR="00E41F12" w:rsidRPr="00826478">
        <w:rPr>
          <w:i/>
        </w:rPr>
        <w:t xml:space="preserve">. </w:t>
      </w:r>
      <w:proofErr w:type="spellStart"/>
      <w:r w:rsidR="00E41F12" w:rsidRPr="00826478">
        <w:rPr>
          <w:i/>
        </w:rPr>
        <w:t>Dyn</w:t>
      </w:r>
      <w:proofErr w:type="spellEnd"/>
      <w:proofErr w:type="gramStart"/>
      <w:r w:rsidR="00E41F12">
        <w:t>.,</w:t>
      </w:r>
      <w:proofErr w:type="gramEnd"/>
      <w:r w:rsidR="00E41F12">
        <w:t xml:space="preserve"> </w:t>
      </w:r>
      <w:r w:rsidR="00E41F12">
        <w:rPr>
          <w:b/>
          <w:bCs/>
        </w:rPr>
        <w:t>14</w:t>
      </w:r>
      <w:r>
        <w:t>, 645-658</w:t>
      </w:r>
      <w:r w:rsidR="00E41F12">
        <w:t>.</w:t>
      </w:r>
    </w:p>
    <w:p w:rsidR="005F52C0" w:rsidRDefault="00DC1251" w:rsidP="00826478">
      <w:pPr>
        <w:spacing w:after="120"/>
        <w:ind w:left="360" w:hanging="360"/>
      </w:pPr>
      <w:proofErr w:type="spellStart"/>
      <w:r>
        <w:t>Pawson</w:t>
      </w:r>
      <w:proofErr w:type="spellEnd"/>
      <w:r>
        <w:t>,</w:t>
      </w:r>
      <w:r w:rsidR="00826478">
        <w:t xml:space="preserve"> S.,</w:t>
      </w:r>
      <w:r>
        <w:t xml:space="preserve"> I. </w:t>
      </w:r>
      <w:proofErr w:type="spellStart"/>
      <w:r>
        <w:t>Stajner</w:t>
      </w:r>
      <w:proofErr w:type="spellEnd"/>
      <w:r>
        <w:t xml:space="preserve">, S.R. </w:t>
      </w:r>
      <w:proofErr w:type="spellStart"/>
      <w:r>
        <w:t>Kawa</w:t>
      </w:r>
      <w:proofErr w:type="spellEnd"/>
      <w:r>
        <w:t xml:space="preserve">, H. Hayashi, W. Tan, J.E. Nielsen, Z. Zhu, L.-P. Chang, </w:t>
      </w:r>
      <w:r w:rsidR="00826478">
        <w:t xml:space="preserve">and </w:t>
      </w:r>
      <w:r>
        <w:t xml:space="preserve">N.J. </w:t>
      </w:r>
      <w:proofErr w:type="spellStart"/>
      <w:r>
        <w:t>Livesey</w:t>
      </w:r>
      <w:proofErr w:type="spellEnd"/>
      <w:r w:rsidR="00826478">
        <w:t>, 2007</w:t>
      </w:r>
      <w:r>
        <w:t xml:space="preserve">: </w:t>
      </w:r>
      <w:r w:rsidRPr="00826478">
        <w:t>Stratospheric Transport Using Six-Hour Averaged Winds from a Data Assimilation System.</w:t>
      </w:r>
      <w:r>
        <w:t xml:space="preserve"> </w:t>
      </w:r>
      <w:r w:rsidRPr="00826478">
        <w:rPr>
          <w:i/>
        </w:rPr>
        <w:t xml:space="preserve">J. </w:t>
      </w:r>
      <w:proofErr w:type="spellStart"/>
      <w:r w:rsidRPr="00826478">
        <w:rPr>
          <w:i/>
        </w:rPr>
        <w:t>Geophys</w:t>
      </w:r>
      <w:proofErr w:type="spellEnd"/>
      <w:r w:rsidRPr="00826478">
        <w:rPr>
          <w:i/>
        </w:rPr>
        <w:t>. Res</w:t>
      </w:r>
      <w:r>
        <w:t xml:space="preserve">. </w:t>
      </w:r>
      <w:r w:rsidRPr="00C03EE3">
        <w:rPr>
          <w:b/>
        </w:rPr>
        <w:t>112</w:t>
      </w:r>
      <w:r>
        <w:t xml:space="preserve">, D23103, </w:t>
      </w:r>
      <w:r w:rsidR="00826478">
        <w:t>doi</w:t>
      </w:r>
      <w:proofErr w:type="gramStart"/>
      <w:r w:rsidR="00826478">
        <w:t>:10.1029</w:t>
      </w:r>
      <w:proofErr w:type="gramEnd"/>
      <w:r w:rsidR="00826478">
        <w:t>/2006JD007673</w:t>
      </w:r>
      <w:r>
        <w:t>.</w:t>
      </w:r>
    </w:p>
    <w:p w:rsidR="005F52C0" w:rsidRDefault="0085364F" w:rsidP="005F52C0">
      <w:pPr>
        <w:spacing w:after="120"/>
        <w:ind w:left="360" w:hanging="360"/>
      </w:pPr>
      <w:r>
        <w:t xml:space="preserve">Redder, C.R., J.K. </w:t>
      </w:r>
      <w:proofErr w:type="spellStart"/>
      <w:r>
        <w:t>Luers</w:t>
      </w:r>
      <w:proofErr w:type="spellEnd"/>
      <w:r>
        <w:t>, and R.</w:t>
      </w:r>
      <w:r w:rsidR="005F52C0" w:rsidRPr="005F52C0">
        <w:t xml:space="preserve">E. </w:t>
      </w:r>
      <w:proofErr w:type="spellStart"/>
      <w:r w:rsidR="005F52C0" w:rsidRPr="005F52C0">
        <w:t>Eskridge</w:t>
      </w:r>
      <w:proofErr w:type="spellEnd"/>
      <w:r w:rsidR="005F52C0" w:rsidRPr="005F52C0">
        <w:t>, 2004: Unexplained</w:t>
      </w:r>
      <w:r w:rsidR="005F52C0">
        <w:t xml:space="preserve"> </w:t>
      </w:r>
      <w:r w:rsidR="005F52C0" w:rsidRPr="005F52C0">
        <w:t>discontinuity in the U.S. radiosonde temperature data. Part</w:t>
      </w:r>
      <w:r w:rsidR="005F52C0">
        <w:t xml:space="preserve"> </w:t>
      </w:r>
      <w:r w:rsidR="005F52C0" w:rsidRPr="005F52C0">
        <w:t xml:space="preserve">II: Stratosphere. </w:t>
      </w:r>
      <w:r w:rsidR="005F52C0" w:rsidRPr="005F52C0">
        <w:rPr>
          <w:i/>
          <w:iCs/>
        </w:rPr>
        <w:t xml:space="preserve">J. Atmos. Oceanic Technol., </w:t>
      </w:r>
      <w:r w:rsidR="005F52C0" w:rsidRPr="005F52C0">
        <w:rPr>
          <w:b/>
          <w:bCs/>
        </w:rPr>
        <w:t xml:space="preserve">21, </w:t>
      </w:r>
      <w:r w:rsidR="005F52C0" w:rsidRPr="005F52C0">
        <w:t>1133–1144.</w:t>
      </w:r>
    </w:p>
    <w:p w:rsidR="00DC1251" w:rsidRDefault="00DC1251" w:rsidP="005F52C0">
      <w:pPr>
        <w:spacing w:after="120"/>
        <w:ind w:left="360" w:hanging="360"/>
      </w:pPr>
      <w:proofErr w:type="spellStart"/>
      <w:r>
        <w:t>Schoeberl</w:t>
      </w:r>
      <w:proofErr w:type="spellEnd"/>
      <w:r>
        <w:t xml:space="preserve">, </w:t>
      </w:r>
      <w:r w:rsidR="00826478">
        <w:t xml:space="preserve">M.R., </w:t>
      </w:r>
      <w:r>
        <w:t xml:space="preserve">A.R. Douglass, Z. Zhu, </w:t>
      </w:r>
      <w:r w:rsidR="00826478">
        <w:t xml:space="preserve">and </w:t>
      </w:r>
      <w:r>
        <w:t xml:space="preserve">S. </w:t>
      </w:r>
      <w:proofErr w:type="spellStart"/>
      <w:r>
        <w:t>Pawson</w:t>
      </w:r>
      <w:proofErr w:type="spellEnd"/>
      <w:r w:rsidR="00826478">
        <w:t>, 2003</w:t>
      </w:r>
      <w:r>
        <w:t xml:space="preserve">: </w:t>
      </w:r>
      <w:r w:rsidRPr="00826478">
        <w:rPr>
          <w:iCs/>
        </w:rPr>
        <w:t>A Comparison of the Lower Stratospheric Age Spectra Derived from a General Circulation Model and Two Data Assimilation Systems</w:t>
      </w:r>
      <w:r>
        <w:t xml:space="preserve">. </w:t>
      </w:r>
      <w:r w:rsidRPr="00826478">
        <w:rPr>
          <w:i/>
        </w:rPr>
        <w:t xml:space="preserve">J. </w:t>
      </w:r>
      <w:proofErr w:type="spellStart"/>
      <w:r w:rsidRPr="00826478">
        <w:rPr>
          <w:i/>
        </w:rPr>
        <w:t>Geophys</w:t>
      </w:r>
      <w:proofErr w:type="spellEnd"/>
      <w:r w:rsidRPr="00826478">
        <w:rPr>
          <w:i/>
        </w:rPr>
        <w:t xml:space="preserve">. </w:t>
      </w:r>
      <w:proofErr w:type="gramStart"/>
      <w:r w:rsidRPr="00826478">
        <w:rPr>
          <w:i/>
        </w:rPr>
        <w:t>Res</w:t>
      </w:r>
      <w:r>
        <w:t xml:space="preserve">., </w:t>
      </w:r>
      <w:r>
        <w:rPr>
          <w:b/>
          <w:bCs/>
        </w:rPr>
        <w:t>108</w:t>
      </w:r>
      <w:r>
        <w:t>,</w:t>
      </w:r>
      <w:r w:rsidR="00826478">
        <w:t xml:space="preserve"> DOI 10.1029/2002jd002652</w:t>
      </w:r>
      <w:r>
        <w:t>.</w:t>
      </w:r>
      <w:proofErr w:type="gramEnd"/>
    </w:p>
    <w:p w:rsidR="00324F08" w:rsidRDefault="00DC1251" w:rsidP="00826478">
      <w:pPr>
        <w:tabs>
          <w:tab w:val="left" w:pos="2080"/>
        </w:tabs>
        <w:spacing w:after="120"/>
        <w:ind w:left="360" w:hanging="360"/>
        <w:rPr>
          <w:rFonts w:cs="Arial"/>
        </w:rPr>
      </w:pPr>
      <w:r>
        <w:t>Tan,</w:t>
      </w:r>
      <w:r w:rsidR="00826478">
        <w:t xml:space="preserve"> W.,</w:t>
      </w:r>
      <w:r>
        <w:t xml:space="preserve"> M.A. Geller, S. </w:t>
      </w:r>
      <w:proofErr w:type="spellStart"/>
      <w:r>
        <w:t>Pawson</w:t>
      </w:r>
      <w:proofErr w:type="spellEnd"/>
      <w:r>
        <w:t xml:space="preserve">, </w:t>
      </w:r>
      <w:r w:rsidR="00826478">
        <w:t xml:space="preserve">and </w:t>
      </w:r>
      <w:r>
        <w:t xml:space="preserve">A.M. </w:t>
      </w:r>
      <w:proofErr w:type="spellStart"/>
      <w:r>
        <w:t>da</w:t>
      </w:r>
      <w:proofErr w:type="spellEnd"/>
      <w:r>
        <w:t xml:space="preserve"> Silva</w:t>
      </w:r>
      <w:r w:rsidR="00826478">
        <w:t>, 2004</w:t>
      </w:r>
      <w:r>
        <w:t xml:space="preserve">: </w:t>
      </w:r>
      <w:r w:rsidRPr="00826478">
        <w:rPr>
          <w:iCs/>
        </w:rPr>
        <w:t>A Case Study of Excessive Subtropical Transport in the Stratosphere of a Data Assimilation System</w:t>
      </w:r>
      <w:r>
        <w:t xml:space="preserve">. </w:t>
      </w:r>
      <w:r w:rsidRPr="00826478">
        <w:rPr>
          <w:rFonts w:cs="Arial"/>
          <w:i/>
        </w:rPr>
        <w:t xml:space="preserve">J. </w:t>
      </w:r>
      <w:proofErr w:type="spellStart"/>
      <w:r w:rsidRPr="00826478">
        <w:rPr>
          <w:rFonts w:cs="Arial"/>
          <w:i/>
        </w:rPr>
        <w:t>Geophys</w:t>
      </w:r>
      <w:proofErr w:type="spellEnd"/>
      <w:r w:rsidRPr="00826478">
        <w:rPr>
          <w:rFonts w:cs="Arial"/>
          <w:i/>
        </w:rPr>
        <w:t>. Res</w:t>
      </w:r>
      <w:r>
        <w:rPr>
          <w:rFonts w:cs="Arial"/>
        </w:rPr>
        <w:t xml:space="preserve">., </w:t>
      </w:r>
      <w:r>
        <w:rPr>
          <w:rFonts w:cs="Arial"/>
          <w:b/>
          <w:bCs/>
        </w:rPr>
        <w:t>109</w:t>
      </w:r>
      <w:r>
        <w:rPr>
          <w:rFonts w:cs="Arial"/>
        </w:rPr>
        <w:t>, D11102 doi</w:t>
      </w:r>
      <w:proofErr w:type="gramStart"/>
      <w:r>
        <w:rPr>
          <w:rFonts w:cs="Arial"/>
        </w:rPr>
        <w:t>:10.1029</w:t>
      </w:r>
      <w:proofErr w:type="gramEnd"/>
      <w:r>
        <w:rPr>
          <w:rFonts w:cs="Arial"/>
        </w:rPr>
        <w:t>/2003jd0040</w:t>
      </w:r>
      <w:r w:rsidR="00826478">
        <w:rPr>
          <w:rFonts w:cs="Arial"/>
        </w:rPr>
        <w:t>57</w:t>
      </w:r>
      <w:r>
        <w:rPr>
          <w:rFonts w:cs="Arial"/>
        </w:rPr>
        <w:t>.</w:t>
      </w:r>
    </w:p>
    <w:p w:rsidR="00951148" w:rsidRPr="00B73EE9" w:rsidRDefault="00B73EE9" w:rsidP="00826478">
      <w:pPr>
        <w:tabs>
          <w:tab w:val="left" w:pos="2080"/>
        </w:tabs>
        <w:spacing w:after="120"/>
        <w:ind w:left="360" w:hanging="360"/>
        <w:rPr>
          <w:rFonts w:cs="Arial"/>
          <w:color w:val="000000" w:themeColor="text1"/>
        </w:rPr>
      </w:pPr>
      <w:proofErr w:type="spellStart"/>
      <w:r w:rsidRPr="00B73EE9">
        <w:rPr>
          <w:rFonts w:cs="Arial"/>
          <w:color w:val="000000" w:themeColor="text1"/>
        </w:rPr>
        <w:t>Trenberth</w:t>
      </w:r>
      <w:proofErr w:type="spellEnd"/>
      <w:r w:rsidRPr="00B73EE9">
        <w:rPr>
          <w:rFonts w:cs="Arial"/>
          <w:color w:val="000000" w:themeColor="text1"/>
        </w:rPr>
        <w:t>, K.</w:t>
      </w:r>
      <w:r w:rsidR="00990253" w:rsidRPr="00B73EE9">
        <w:rPr>
          <w:rFonts w:cs="Arial"/>
          <w:color w:val="000000" w:themeColor="text1"/>
        </w:rPr>
        <w:t>,</w:t>
      </w:r>
      <w:r w:rsidRPr="00B73EE9">
        <w:rPr>
          <w:rFonts w:cs="Arial"/>
          <w:color w:val="000000" w:themeColor="text1"/>
        </w:rPr>
        <w:t xml:space="preserve"> J.T, </w:t>
      </w:r>
      <w:proofErr w:type="spellStart"/>
      <w:r w:rsidRPr="00B73EE9">
        <w:rPr>
          <w:rFonts w:cs="Arial"/>
          <w:color w:val="000000" w:themeColor="text1"/>
        </w:rPr>
        <w:t>Fasullo</w:t>
      </w:r>
      <w:proofErr w:type="spellEnd"/>
      <w:r w:rsidRPr="00B73EE9">
        <w:rPr>
          <w:rFonts w:cs="Arial"/>
          <w:color w:val="000000" w:themeColor="text1"/>
        </w:rPr>
        <w:t xml:space="preserve">, and J. </w:t>
      </w:r>
      <w:proofErr w:type="spellStart"/>
      <w:r w:rsidRPr="00B73EE9">
        <w:rPr>
          <w:rFonts w:cs="Arial"/>
          <w:color w:val="000000" w:themeColor="text1"/>
        </w:rPr>
        <w:t>Kiehl</w:t>
      </w:r>
      <w:proofErr w:type="spellEnd"/>
      <w:r w:rsidRPr="00B73EE9">
        <w:rPr>
          <w:rFonts w:cs="Arial"/>
          <w:color w:val="000000" w:themeColor="text1"/>
        </w:rPr>
        <w:t>,</w:t>
      </w:r>
      <w:r w:rsidR="00990253" w:rsidRPr="00B73EE9">
        <w:rPr>
          <w:rFonts w:cs="Arial"/>
          <w:color w:val="000000" w:themeColor="text1"/>
        </w:rPr>
        <w:t xml:space="preserve"> 2009: </w:t>
      </w:r>
      <w:r w:rsidRPr="00B73EE9">
        <w:rPr>
          <w:rFonts w:cs="Arial"/>
          <w:color w:val="000000" w:themeColor="text1"/>
        </w:rPr>
        <w:t xml:space="preserve">Earth’s Global Energy Budget. </w:t>
      </w:r>
      <w:r w:rsidR="00990253" w:rsidRPr="00B73EE9">
        <w:rPr>
          <w:rFonts w:cs="Arial"/>
          <w:i/>
          <w:color w:val="000000" w:themeColor="text1"/>
        </w:rPr>
        <w:t>B</w:t>
      </w:r>
      <w:r w:rsidRPr="00B73EE9">
        <w:rPr>
          <w:rFonts w:cs="Arial"/>
          <w:i/>
          <w:color w:val="000000" w:themeColor="text1"/>
        </w:rPr>
        <w:t xml:space="preserve">ull. </w:t>
      </w:r>
      <w:r w:rsidR="00990253" w:rsidRPr="00B73EE9">
        <w:rPr>
          <w:rFonts w:cs="Arial"/>
          <w:i/>
          <w:color w:val="000000" w:themeColor="text1"/>
        </w:rPr>
        <w:t>A</w:t>
      </w:r>
      <w:r w:rsidRPr="00B73EE9">
        <w:rPr>
          <w:rFonts w:cs="Arial"/>
          <w:i/>
          <w:color w:val="000000" w:themeColor="text1"/>
        </w:rPr>
        <w:t xml:space="preserve">mer. </w:t>
      </w:r>
      <w:proofErr w:type="spellStart"/>
      <w:r w:rsidR="00990253" w:rsidRPr="00B73EE9">
        <w:rPr>
          <w:rFonts w:cs="Arial"/>
          <w:i/>
          <w:color w:val="000000" w:themeColor="text1"/>
        </w:rPr>
        <w:t>M</w:t>
      </w:r>
      <w:r w:rsidRPr="00B73EE9">
        <w:rPr>
          <w:rFonts w:cs="Arial"/>
          <w:i/>
          <w:color w:val="000000" w:themeColor="text1"/>
        </w:rPr>
        <w:t>eteorol</w:t>
      </w:r>
      <w:proofErr w:type="spellEnd"/>
      <w:r w:rsidRPr="00B73EE9">
        <w:rPr>
          <w:rFonts w:cs="Arial"/>
          <w:i/>
          <w:color w:val="000000" w:themeColor="text1"/>
        </w:rPr>
        <w:t xml:space="preserve">. </w:t>
      </w:r>
      <w:proofErr w:type="gramStart"/>
      <w:r w:rsidR="00990253" w:rsidRPr="00B73EE9">
        <w:rPr>
          <w:rFonts w:cs="Arial"/>
          <w:i/>
          <w:color w:val="000000" w:themeColor="text1"/>
        </w:rPr>
        <w:t>S</w:t>
      </w:r>
      <w:r w:rsidRPr="00B73EE9">
        <w:rPr>
          <w:rFonts w:cs="Arial"/>
          <w:i/>
          <w:color w:val="000000" w:themeColor="text1"/>
        </w:rPr>
        <w:t>oc</w:t>
      </w:r>
      <w:r w:rsidR="00324F08" w:rsidRPr="00B73EE9">
        <w:rPr>
          <w:rFonts w:cs="Arial"/>
          <w:color w:val="000000" w:themeColor="text1"/>
        </w:rPr>
        <w:t>.</w:t>
      </w:r>
      <w:r w:rsidRPr="00B73EE9">
        <w:rPr>
          <w:rFonts w:cs="Arial"/>
          <w:color w:val="000000" w:themeColor="text1"/>
        </w:rPr>
        <w:t xml:space="preserve">, </w:t>
      </w:r>
      <w:r w:rsidRPr="00B73EE9">
        <w:rPr>
          <w:rFonts w:cs="Arial"/>
          <w:b/>
          <w:color w:val="000000" w:themeColor="text1"/>
        </w:rPr>
        <w:t xml:space="preserve">90 </w:t>
      </w:r>
      <w:r w:rsidRPr="00B73EE9">
        <w:rPr>
          <w:rFonts w:cs="Arial"/>
          <w:color w:val="000000" w:themeColor="text1"/>
        </w:rPr>
        <w:t>(3), 311-323.</w:t>
      </w:r>
      <w:proofErr w:type="gramEnd"/>
    </w:p>
    <w:p w:rsidR="00731660" w:rsidRPr="00951148" w:rsidRDefault="00951148" w:rsidP="00826478">
      <w:pPr>
        <w:tabs>
          <w:tab w:val="left" w:pos="2080"/>
        </w:tabs>
        <w:spacing w:after="120"/>
        <w:ind w:left="360" w:hanging="360"/>
        <w:rPr>
          <w:rFonts w:cs="Arial"/>
          <w:color w:val="000000" w:themeColor="text1"/>
        </w:rPr>
      </w:pPr>
      <w:proofErr w:type="spellStart"/>
      <w:r>
        <w:rPr>
          <w:rFonts w:cs="Arial"/>
          <w:color w:val="000000" w:themeColor="text1"/>
        </w:rPr>
        <w:t>Trémolet</w:t>
      </w:r>
      <w:proofErr w:type="spellEnd"/>
      <w:r>
        <w:rPr>
          <w:rFonts w:cs="Arial"/>
          <w:color w:val="000000" w:themeColor="text1"/>
        </w:rPr>
        <w:t xml:space="preserve">, Y, 2006: Accounting for an imperfect model in 4D-Var. </w:t>
      </w:r>
      <w:r>
        <w:rPr>
          <w:rFonts w:cs="Arial"/>
          <w:i/>
          <w:color w:val="000000" w:themeColor="text1"/>
        </w:rPr>
        <w:t xml:space="preserve">Q. J. Roy. </w:t>
      </w:r>
      <w:proofErr w:type="spellStart"/>
      <w:r>
        <w:rPr>
          <w:rFonts w:cs="Arial"/>
          <w:i/>
          <w:color w:val="000000" w:themeColor="text1"/>
        </w:rPr>
        <w:t>Meteorol</w:t>
      </w:r>
      <w:proofErr w:type="spellEnd"/>
      <w:r>
        <w:rPr>
          <w:rFonts w:cs="Arial"/>
          <w:i/>
          <w:color w:val="000000" w:themeColor="text1"/>
        </w:rPr>
        <w:t xml:space="preserve">. </w:t>
      </w:r>
      <w:proofErr w:type="gramStart"/>
      <w:r>
        <w:rPr>
          <w:rFonts w:cs="Arial"/>
          <w:i/>
          <w:color w:val="000000" w:themeColor="text1"/>
        </w:rPr>
        <w:t>Soc.</w:t>
      </w:r>
      <w:r>
        <w:rPr>
          <w:rFonts w:cs="Arial"/>
          <w:color w:val="000000" w:themeColor="text1"/>
        </w:rPr>
        <w:t xml:space="preserve">, </w:t>
      </w:r>
      <w:r>
        <w:rPr>
          <w:rFonts w:cs="Arial"/>
          <w:b/>
          <w:color w:val="000000" w:themeColor="text1"/>
        </w:rPr>
        <w:t>132</w:t>
      </w:r>
      <w:r>
        <w:rPr>
          <w:rFonts w:cs="Arial"/>
          <w:color w:val="000000" w:themeColor="text1"/>
        </w:rPr>
        <w:t>, 2483-2504.</w:t>
      </w:r>
      <w:proofErr w:type="gramEnd"/>
    </w:p>
    <w:p w:rsidR="005F1B30" w:rsidRDefault="00731660" w:rsidP="00826478">
      <w:pPr>
        <w:tabs>
          <w:tab w:val="left" w:pos="2080"/>
        </w:tabs>
        <w:spacing w:after="120"/>
        <w:ind w:left="360" w:hanging="360"/>
        <w:rPr>
          <w:bCs/>
        </w:rPr>
      </w:pPr>
      <w:r w:rsidRPr="00731660">
        <w:t>Wheeler</w:t>
      </w:r>
      <w:r w:rsidR="00164FA0">
        <w:t xml:space="preserve">, M. and G.N. </w:t>
      </w:r>
      <w:proofErr w:type="spellStart"/>
      <w:r w:rsidR="00164FA0">
        <w:t>Kiladis</w:t>
      </w:r>
      <w:proofErr w:type="spellEnd"/>
      <w:r w:rsidR="00164FA0">
        <w:t xml:space="preserve">, </w:t>
      </w:r>
      <w:r w:rsidRPr="00731660">
        <w:t>1999</w:t>
      </w:r>
      <w:r w:rsidR="00164FA0">
        <w:t xml:space="preserve">: </w:t>
      </w:r>
      <w:r w:rsidRPr="00731660">
        <w:t xml:space="preserve"> </w:t>
      </w:r>
      <w:r w:rsidR="00164FA0">
        <w:rPr>
          <w:bCs/>
        </w:rPr>
        <w:t>Convectively c</w:t>
      </w:r>
      <w:r w:rsidR="00164FA0" w:rsidRPr="00164FA0">
        <w:rPr>
          <w:bCs/>
        </w:rPr>
        <w:t>oupled</w:t>
      </w:r>
      <w:r w:rsidR="00164FA0">
        <w:rPr>
          <w:bCs/>
        </w:rPr>
        <w:t xml:space="preserve"> Equatorial Waves: Analysis of clouds and temperature in the wavenumber–frequency d</w:t>
      </w:r>
      <w:r w:rsidR="00164FA0" w:rsidRPr="00164FA0">
        <w:rPr>
          <w:bCs/>
        </w:rPr>
        <w:t>omain.</w:t>
      </w:r>
      <w:r w:rsidR="00164FA0">
        <w:rPr>
          <w:b/>
          <w:bCs/>
        </w:rPr>
        <w:t xml:space="preserve"> </w:t>
      </w:r>
      <w:r w:rsidR="00164FA0" w:rsidRPr="00164FA0">
        <w:rPr>
          <w:bCs/>
          <w:i/>
          <w:iCs/>
        </w:rPr>
        <w:t>J. Atmos. Sci.,</w:t>
      </w:r>
      <w:r w:rsidR="00164FA0" w:rsidRPr="00164FA0">
        <w:rPr>
          <w:bCs/>
        </w:rPr>
        <w:t xml:space="preserve"> </w:t>
      </w:r>
      <w:r w:rsidR="00164FA0" w:rsidRPr="00164FA0">
        <w:rPr>
          <w:b/>
          <w:bCs/>
        </w:rPr>
        <w:t>56</w:t>
      </w:r>
      <w:r w:rsidR="00164FA0" w:rsidRPr="00164FA0">
        <w:rPr>
          <w:bCs/>
        </w:rPr>
        <w:t>, 374-399</w:t>
      </w:r>
      <w:r w:rsidR="00164FA0">
        <w:rPr>
          <w:bCs/>
        </w:rPr>
        <w:t>.</w:t>
      </w:r>
    </w:p>
    <w:p w:rsidR="00E13B0E" w:rsidRDefault="005F1B30" w:rsidP="0061693A">
      <w:pPr>
        <w:tabs>
          <w:tab w:val="left" w:pos="2080"/>
        </w:tabs>
        <w:spacing w:after="120"/>
        <w:ind w:left="360" w:hanging="360"/>
        <w:rPr>
          <w:rFonts w:cs="Arial"/>
        </w:rPr>
      </w:pPr>
      <w:proofErr w:type="spellStart"/>
      <w:r>
        <w:rPr>
          <w:rFonts w:cs="Arial"/>
        </w:rPr>
        <w:t>Zou</w:t>
      </w:r>
      <w:proofErr w:type="spellEnd"/>
      <w:r>
        <w:rPr>
          <w:rFonts w:cs="Arial"/>
        </w:rPr>
        <w:t xml:space="preserve">, C., M.D. Goldberg, Z. Cheng, N.C. </w:t>
      </w:r>
      <w:proofErr w:type="spellStart"/>
      <w:r>
        <w:rPr>
          <w:rFonts w:cs="Arial"/>
        </w:rPr>
        <w:t>Grody</w:t>
      </w:r>
      <w:proofErr w:type="spellEnd"/>
      <w:r>
        <w:rPr>
          <w:rFonts w:cs="Arial"/>
        </w:rPr>
        <w:t>, J.</w:t>
      </w:r>
      <w:r w:rsidRPr="005F1B30">
        <w:rPr>
          <w:rFonts w:cs="Arial"/>
        </w:rPr>
        <w:t xml:space="preserve">T. Sullivan, C. Cao, and D. </w:t>
      </w:r>
      <w:proofErr w:type="spellStart"/>
      <w:r w:rsidRPr="005F1B30">
        <w:rPr>
          <w:rFonts w:cs="Arial"/>
        </w:rPr>
        <w:t>Tarpley</w:t>
      </w:r>
      <w:proofErr w:type="spellEnd"/>
      <w:r>
        <w:rPr>
          <w:rFonts w:cs="Arial"/>
        </w:rPr>
        <w:t xml:space="preserve">, 2006: </w:t>
      </w:r>
      <w:r w:rsidRPr="005F1B30">
        <w:rPr>
          <w:rFonts w:cs="Arial"/>
        </w:rPr>
        <w:t>Recalibration of microwave sounding unit for climate studies using simultaneous nadir overpasses</w:t>
      </w:r>
      <w:r>
        <w:rPr>
          <w:rFonts w:cs="Arial"/>
        </w:rPr>
        <w:t xml:space="preserve">. </w:t>
      </w:r>
      <w:r w:rsidRPr="005F1B30">
        <w:rPr>
          <w:rFonts w:cs="Arial"/>
          <w:i/>
          <w:iCs/>
        </w:rPr>
        <w:t xml:space="preserve">J. </w:t>
      </w:r>
      <w:proofErr w:type="spellStart"/>
      <w:r w:rsidRPr="005F1B30">
        <w:rPr>
          <w:rFonts w:cs="Arial"/>
          <w:i/>
          <w:iCs/>
        </w:rPr>
        <w:t>Geophys</w:t>
      </w:r>
      <w:proofErr w:type="spellEnd"/>
      <w:r w:rsidRPr="005F1B30">
        <w:rPr>
          <w:rFonts w:cs="Arial"/>
          <w:i/>
          <w:iCs/>
        </w:rPr>
        <w:t>. Res.,</w:t>
      </w:r>
      <w:r w:rsidRPr="005F1B30">
        <w:rPr>
          <w:rFonts w:cs="Arial"/>
        </w:rPr>
        <w:t xml:space="preserve"> </w:t>
      </w:r>
      <w:r w:rsidRPr="005F1B30">
        <w:rPr>
          <w:rFonts w:cs="Arial"/>
          <w:b/>
        </w:rPr>
        <w:t>111</w:t>
      </w:r>
      <w:r w:rsidRPr="005F1B30">
        <w:rPr>
          <w:rFonts w:cs="Arial"/>
        </w:rPr>
        <w:t>, D19114, doi</w:t>
      </w:r>
      <w:proofErr w:type="gramStart"/>
      <w:r w:rsidRPr="005F1B30">
        <w:rPr>
          <w:rFonts w:cs="Arial"/>
        </w:rPr>
        <w:t>:10.1029</w:t>
      </w:r>
      <w:proofErr w:type="gramEnd"/>
      <w:r w:rsidRPr="005F1B30">
        <w:rPr>
          <w:rFonts w:cs="Arial"/>
        </w:rPr>
        <w:t>/2005JD006798</w:t>
      </w:r>
      <w:r>
        <w:rPr>
          <w:rFonts w:cs="Arial"/>
        </w:rPr>
        <w:t>.</w:t>
      </w:r>
      <w:r w:rsidRPr="005F1B30">
        <w:rPr>
          <w:rFonts w:cs="Arial"/>
        </w:rPr>
        <w:t xml:space="preserve"> </w:t>
      </w:r>
      <w:r w:rsidR="00E13B0E">
        <w:rPr>
          <w:rFonts w:cs="Arial"/>
        </w:rPr>
        <w:br w:type="page"/>
      </w:r>
    </w:p>
    <w:p w:rsidR="00E13B0E" w:rsidRDefault="00E13B0E" w:rsidP="00EB6300">
      <w:pPr>
        <w:pStyle w:val="AppendixA"/>
      </w:pPr>
      <w:r>
        <w:t xml:space="preserve"> Appendix A</w:t>
      </w:r>
    </w:p>
    <w:p w:rsidR="00644027" w:rsidRDefault="00644027" w:rsidP="002C20C1">
      <w:pPr>
        <w:pStyle w:val="Appendix2"/>
      </w:pPr>
    </w:p>
    <w:p w:rsidR="002C20C1" w:rsidRDefault="002C20C1" w:rsidP="002C20C1">
      <w:pPr>
        <w:pStyle w:val="Appendix2"/>
      </w:pPr>
      <w:r>
        <w:t>A.1 NASA MERRA</w:t>
      </w:r>
    </w:p>
    <w:p w:rsidR="002C20C1" w:rsidRDefault="002C20C1" w:rsidP="002C20C1">
      <w:r>
        <w:t xml:space="preserve">The </w:t>
      </w:r>
      <w:r w:rsidR="00D75E91">
        <w:t xml:space="preserve">development of the </w:t>
      </w:r>
      <w:r>
        <w:t>Modern Era Retrospective-analysis for Research and Application (MERRA) began with two primary objectives. It was recognized that various aspects of the hydrologic cycle represented in previous generations of reanalyses were not sufficient for climate and weather study, and MERRA proposed to improve</w:t>
      </w:r>
      <w:r w:rsidR="0090650E">
        <w:t xml:space="preserve"> upon the water cycle as a</w:t>
      </w:r>
      <w:r>
        <w:t xml:space="preserve"> contribution to the science community and reanalysis research. </w:t>
      </w:r>
      <w:proofErr w:type="spellStart"/>
      <w:r>
        <w:t>MERRA’s</w:t>
      </w:r>
      <w:proofErr w:type="spellEnd"/>
      <w:r>
        <w:t xml:space="preserve"> assimilation of the complete satellite era is intended to place observations from NASA’s Earth Observing System satellites in a climate context.</w:t>
      </w:r>
    </w:p>
    <w:p w:rsidR="00D75E91" w:rsidRDefault="00D75E91" w:rsidP="002C20C1">
      <w:r>
        <w:t>MERRA is based on the GEOS-5 atmospheric data assimilation system, version 5.2.0. The NCEP-GMAO Gridpoint Statistical Interpolation (GSI) analysis is integrated with the GEOS-5 atmospheric model in a six-hour assimilation cycle. At ½° latitude × 2/3° longitude with 72 vertical levels, t</w:t>
      </w:r>
      <w:r w:rsidR="002C20C1">
        <w:t xml:space="preserve">he spatial resolution of MERRA is </w:t>
      </w:r>
      <w:r>
        <w:t>finer than previous generation atmospheric reanalyses</w:t>
      </w:r>
      <w:r w:rsidR="002C20C1">
        <w:t>. MERRA utilizes Incremental Analysis Updates (IAU) that allows for reduced “spin-down” effects by applyin</w:t>
      </w:r>
      <w:r>
        <w:t>g the analysis as a tendency term in the governing equations. T</w:t>
      </w:r>
      <w:r w:rsidR="002C20C1">
        <w:t xml:space="preserve">he observational forcing on the data from the increments is tallied in the output budgets of the model (e.g. water and enthalpy). MERRA provides complete atmospheric budgets that balance, including the analysis terms. </w:t>
      </w:r>
    </w:p>
    <w:p w:rsidR="0090650E" w:rsidRDefault="00D75E91" w:rsidP="002C20C1">
      <w:r>
        <w:t>MERRA was processed in t</w:t>
      </w:r>
      <w:r w:rsidR="002C20C1">
        <w:t>hree</w:t>
      </w:r>
      <w:r w:rsidR="0090650E">
        <w:t xml:space="preserve"> separate </w:t>
      </w:r>
      <w:r>
        <w:t xml:space="preserve">streams, each spun-up in two stages: from a two-year analysis at 2° × 2.5° and then a 1-year analysis on the MERRA grid. </w:t>
      </w:r>
      <w:r w:rsidR="0090650E">
        <w:t>Streams 1 and 2 were each extended to overlap the next stream to examine the nature of the spin-up as well as predictability/uncertainty. The final MERRA distribution is from the longer streams 1 and 2, so that the distributed streams 2 and 3 have been spun up for 5 and 4 years, respectively, at MERRA resolution.</w:t>
      </w:r>
    </w:p>
    <w:p w:rsidR="002C20C1" w:rsidRPr="002C20C1" w:rsidRDefault="0090650E" w:rsidP="00826478">
      <w:r>
        <w:t>The MERRA observational suite was based in good part on the observational processing by NCEP. Notable differences include the ERA surface winds, where an older version was used for MERRA, and the SSM/I input data, which came from Godd</w:t>
      </w:r>
      <w:r w:rsidR="00826478">
        <w:t>ard (precipitation) and from RSS (radiances and surface winds). The radiosonde data were processed differently (more similar to ERA-Interim processing) and the ERA-40 blacklist was used.</w:t>
      </w:r>
    </w:p>
    <w:p w:rsidR="002C20C1" w:rsidRDefault="002C20C1" w:rsidP="002C20C1">
      <w:pPr>
        <w:pStyle w:val="Appendix2"/>
      </w:pPr>
      <w:r>
        <w:t>A.2 ECMWF ERA-</w:t>
      </w:r>
      <w:r w:rsidR="00E13B0E">
        <w:t>Interim</w:t>
      </w:r>
    </w:p>
    <w:p w:rsidR="002C20C1" w:rsidRDefault="002C20C1" w:rsidP="002C20C1">
      <w:pPr>
        <w:pStyle w:val="Appendix2"/>
      </w:pPr>
      <w:r>
        <w:t>A.3 NOAA CFSR</w:t>
      </w:r>
    </w:p>
    <w:p w:rsidR="002C20C1" w:rsidRPr="002C20C1" w:rsidRDefault="002C20C1" w:rsidP="002C20C1">
      <w:pPr>
        <w:pStyle w:val="Appendix2"/>
      </w:pPr>
      <w:r>
        <w:t>A.4 JMA JRA-25</w:t>
      </w:r>
    </w:p>
    <w:p w:rsidR="002F2FEB" w:rsidRDefault="002C20C1" w:rsidP="002C20C1">
      <w:pPr>
        <w:pStyle w:val="Appendix2"/>
      </w:pPr>
      <w:r>
        <w:t>A.5 NOAA 20CR</w:t>
      </w:r>
    </w:p>
    <w:p w:rsidR="002F2FEB" w:rsidRDefault="002F2FEB" w:rsidP="002F2FEB"/>
    <w:p w:rsidR="002F2FEB" w:rsidRDefault="002F2FEB">
      <w:pPr>
        <w:spacing w:line="276" w:lineRule="auto"/>
        <w:jc w:val="left"/>
        <w:rPr>
          <w:rFonts w:asciiTheme="majorHAnsi" w:hAnsiTheme="majorHAnsi"/>
          <w:b/>
          <w:color w:val="4F81BD" w:themeColor="accent1"/>
          <w:sz w:val="28"/>
        </w:rPr>
      </w:pPr>
      <w:r>
        <w:br w:type="page"/>
      </w:r>
    </w:p>
    <w:p w:rsidR="002F2FEB" w:rsidRDefault="002F2FEB" w:rsidP="002F2FEB">
      <w:pPr>
        <w:pStyle w:val="AppendixA"/>
      </w:pPr>
      <w:r>
        <w:t>Appendix B: Summary of Reanalyses to date</w:t>
      </w:r>
    </w:p>
    <w:p w:rsidR="002F2FEB" w:rsidRDefault="002F2FEB" w:rsidP="002F2FEB">
      <w:pPr>
        <w:pStyle w:val="AppendixA"/>
      </w:pPr>
    </w:p>
    <w:tbl>
      <w:tblPr>
        <w:tblStyle w:val="TableGrid"/>
        <w:tblW w:w="0" w:type="auto"/>
        <w:tblLayout w:type="fixed"/>
        <w:tblLook w:val="00BF"/>
      </w:tblPr>
      <w:tblGrid>
        <w:gridCol w:w="1638"/>
        <w:gridCol w:w="1530"/>
        <w:gridCol w:w="1530"/>
        <w:gridCol w:w="1350"/>
        <w:gridCol w:w="1260"/>
        <w:gridCol w:w="1260"/>
        <w:gridCol w:w="1008"/>
      </w:tblGrid>
      <w:tr w:rsidR="009861F2">
        <w:tc>
          <w:tcPr>
            <w:tcW w:w="1638" w:type="dxa"/>
          </w:tcPr>
          <w:p w:rsidR="009861F2" w:rsidRPr="009861F2" w:rsidRDefault="009861F2" w:rsidP="009861F2">
            <w:pPr>
              <w:jc w:val="center"/>
              <w:rPr>
                <w:b/>
              </w:rPr>
            </w:pPr>
            <w:r w:rsidRPr="009861F2">
              <w:rPr>
                <w:b/>
              </w:rPr>
              <w:t>Reanalysis</w:t>
            </w:r>
          </w:p>
        </w:tc>
        <w:tc>
          <w:tcPr>
            <w:tcW w:w="1530" w:type="dxa"/>
          </w:tcPr>
          <w:p w:rsidR="009861F2" w:rsidRPr="009861F2" w:rsidRDefault="009861F2" w:rsidP="009861F2">
            <w:pPr>
              <w:jc w:val="center"/>
              <w:rPr>
                <w:b/>
              </w:rPr>
            </w:pPr>
            <w:r>
              <w:rPr>
                <w:b/>
              </w:rPr>
              <w:t>Organization</w:t>
            </w:r>
          </w:p>
        </w:tc>
        <w:tc>
          <w:tcPr>
            <w:tcW w:w="1530" w:type="dxa"/>
          </w:tcPr>
          <w:p w:rsidR="009861F2" w:rsidRPr="009861F2" w:rsidRDefault="009861F2" w:rsidP="009861F2">
            <w:pPr>
              <w:jc w:val="center"/>
              <w:rPr>
                <w:b/>
              </w:rPr>
            </w:pPr>
            <w:r>
              <w:rPr>
                <w:b/>
              </w:rPr>
              <w:t>Time Span</w:t>
            </w:r>
          </w:p>
        </w:tc>
        <w:tc>
          <w:tcPr>
            <w:tcW w:w="1350" w:type="dxa"/>
          </w:tcPr>
          <w:p w:rsidR="009861F2" w:rsidRPr="009861F2" w:rsidRDefault="009861F2" w:rsidP="00644027">
            <w:pPr>
              <w:jc w:val="center"/>
              <w:rPr>
                <w:b/>
              </w:rPr>
            </w:pPr>
            <w:r>
              <w:rPr>
                <w:b/>
              </w:rPr>
              <w:t>Resolution</w:t>
            </w:r>
          </w:p>
        </w:tc>
        <w:tc>
          <w:tcPr>
            <w:tcW w:w="1260" w:type="dxa"/>
          </w:tcPr>
          <w:p w:rsidR="009861F2" w:rsidRPr="009861F2" w:rsidRDefault="009861F2" w:rsidP="009861F2">
            <w:pPr>
              <w:jc w:val="center"/>
              <w:rPr>
                <w:b/>
              </w:rPr>
            </w:pPr>
            <w:r>
              <w:rPr>
                <w:b/>
              </w:rPr>
              <w:t xml:space="preserve"> Method</w:t>
            </w:r>
          </w:p>
        </w:tc>
        <w:tc>
          <w:tcPr>
            <w:tcW w:w="1260" w:type="dxa"/>
          </w:tcPr>
          <w:p w:rsidR="009861F2" w:rsidRPr="009861F2" w:rsidRDefault="009861F2" w:rsidP="009861F2">
            <w:pPr>
              <w:jc w:val="center"/>
              <w:rPr>
                <w:b/>
              </w:rPr>
            </w:pPr>
            <w:r>
              <w:rPr>
                <w:b/>
              </w:rPr>
              <w:t>Radiances</w:t>
            </w:r>
          </w:p>
        </w:tc>
        <w:tc>
          <w:tcPr>
            <w:tcW w:w="1008" w:type="dxa"/>
          </w:tcPr>
          <w:p w:rsidR="009861F2" w:rsidRPr="009861F2" w:rsidRDefault="009861F2" w:rsidP="009861F2">
            <w:pPr>
              <w:jc w:val="center"/>
              <w:rPr>
                <w:b/>
              </w:rPr>
            </w:pPr>
            <w:r>
              <w:rPr>
                <w:b/>
              </w:rPr>
              <w:t>VARBC</w:t>
            </w:r>
          </w:p>
        </w:tc>
      </w:tr>
      <w:tr w:rsidR="009861F2">
        <w:tc>
          <w:tcPr>
            <w:tcW w:w="1638" w:type="dxa"/>
          </w:tcPr>
          <w:p w:rsidR="009861F2" w:rsidRPr="00B41FDF" w:rsidRDefault="009861F2" w:rsidP="009861F2">
            <w:pPr>
              <w:rPr>
                <w:sz w:val="20"/>
              </w:rPr>
            </w:pPr>
            <w:r w:rsidRPr="00B41FDF">
              <w:rPr>
                <w:sz w:val="20"/>
              </w:rPr>
              <w:t>GEOS-1</w:t>
            </w:r>
          </w:p>
        </w:tc>
        <w:tc>
          <w:tcPr>
            <w:tcW w:w="1530" w:type="dxa"/>
          </w:tcPr>
          <w:p w:rsidR="009861F2" w:rsidRPr="00B41FDF" w:rsidRDefault="009861F2" w:rsidP="009861F2">
            <w:pPr>
              <w:rPr>
                <w:sz w:val="20"/>
              </w:rPr>
            </w:pPr>
            <w:r w:rsidRPr="00B41FDF">
              <w:rPr>
                <w:sz w:val="20"/>
              </w:rPr>
              <w:t>DAO</w:t>
            </w:r>
          </w:p>
        </w:tc>
        <w:tc>
          <w:tcPr>
            <w:tcW w:w="1530" w:type="dxa"/>
          </w:tcPr>
          <w:p w:rsidR="009861F2" w:rsidRPr="00B41FDF" w:rsidRDefault="00B41FDF" w:rsidP="00B41FDF">
            <w:pPr>
              <w:jc w:val="center"/>
              <w:rPr>
                <w:sz w:val="20"/>
              </w:rPr>
            </w:pPr>
            <w:r>
              <w:rPr>
                <w:sz w:val="20"/>
              </w:rPr>
              <w:t>3/1985-11/1995</w:t>
            </w:r>
          </w:p>
        </w:tc>
        <w:tc>
          <w:tcPr>
            <w:tcW w:w="1350" w:type="dxa"/>
          </w:tcPr>
          <w:p w:rsidR="009861F2" w:rsidRPr="00B41FDF" w:rsidRDefault="00B41FDF" w:rsidP="00644027">
            <w:pPr>
              <w:jc w:val="center"/>
              <w:rPr>
                <w:sz w:val="20"/>
              </w:rPr>
            </w:pPr>
            <w:r>
              <w:rPr>
                <w:sz w:val="20"/>
              </w:rPr>
              <w:t>2×2.5×14L</w:t>
            </w:r>
          </w:p>
        </w:tc>
        <w:tc>
          <w:tcPr>
            <w:tcW w:w="1260" w:type="dxa"/>
          </w:tcPr>
          <w:p w:rsidR="009861F2" w:rsidRPr="00B41FDF" w:rsidRDefault="00B41FDF" w:rsidP="009861F2">
            <w:pPr>
              <w:jc w:val="center"/>
              <w:rPr>
                <w:sz w:val="20"/>
              </w:rPr>
            </w:pPr>
            <w:r>
              <w:rPr>
                <w:sz w:val="20"/>
              </w:rPr>
              <w:t>OI</w:t>
            </w:r>
          </w:p>
        </w:tc>
        <w:tc>
          <w:tcPr>
            <w:tcW w:w="1260" w:type="dxa"/>
          </w:tcPr>
          <w:p w:rsidR="009861F2" w:rsidRPr="00B41FDF" w:rsidRDefault="009861F2" w:rsidP="009861F2">
            <w:pPr>
              <w:jc w:val="center"/>
              <w:rPr>
                <w:sz w:val="20"/>
              </w:rPr>
            </w:pPr>
            <w:r w:rsidRPr="00B41FDF">
              <w:rPr>
                <w:sz w:val="20"/>
              </w:rPr>
              <w:t>No</w:t>
            </w:r>
          </w:p>
        </w:tc>
        <w:tc>
          <w:tcPr>
            <w:tcW w:w="1008" w:type="dxa"/>
          </w:tcPr>
          <w:p w:rsidR="009861F2" w:rsidRPr="00B41FDF" w:rsidRDefault="009861F2" w:rsidP="009861F2">
            <w:pPr>
              <w:jc w:val="center"/>
              <w:rPr>
                <w:sz w:val="20"/>
              </w:rPr>
            </w:pPr>
            <w:r w:rsidRPr="00B41FDF">
              <w:rPr>
                <w:sz w:val="20"/>
              </w:rPr>
              <w:t>No</w:t>
            </w:r>
          </w:p>
        </w:tc>
      </w:tr>
      <w:tr w:rsidR="009861F2">
        <w:tc>
          <w:tcPr>
            <w:tcW w:w="1638" w:type="dxa"/>
          </w:tcPr>
          <w:p w:rsidR="009861F2" w:rsidRPr="00B41FDF" w:rsidRDefault="009861F2" w:rsidP="009861F2">
            <w:pPr>
              <w:rPr>
                <w:sz w:val="20"/>
              </w:rPr>
            </w:pPr>
            <w:r w:rsidRPr="00B41FDF">
              <w:rPr>
                <w:sz w:val="20"/>
              </w:rPr>
              <w:t>ERA-15</w:t>
            </w:r>
          </w:p>
        </w:tc>
        <w:tc>
          <w:tcPr>
            <w:tcW w:w="1530" w:type="dxa"/>
          </w:tcPr>
          <w:p w:rsidR="009861F2" w:rsidRPr="00B41FDF" w:rsidRDefault="009861F2" w:rsidP="009861F2">
            <w:pPr>
              <w:rPr>
                <w:sz w:val="20"/>
              </w:rPr>
            </w:pPr>
            <w:r w:rsidRPr="00B41FDF">
              <w:rPr>
                <w:sz w:val="20"/>
              </w:rPr>
              <w:t>ECWMF</w:t>
            </w:r>
          </w:p>
        </w:tc>
        <w:tc>
          <w:tcPr>
            <w:tcW w:w="1530" w:type="dxa"/>
          </w:tcPr>
          <w:p w:rsidR="009861F2" w:rsidRPr="00B41FDF" w:rsidRDefault="00B41FDF" w:rsidP="00B41FDF">
            <w:pPr>
              <w:jc w:val="center"/>
              <w:rPr>
                <w:sz w:val="20"/>
              </w:rPr>
            </w:pPr>
            <w:r>
              <w:rPr>
                <w:sz w:val="20"/>
              </w:rPr>
              <w:t>1979-1993</w:t>
            </w:r>
          </w:p>
        </w:tc>
        <w:tc>
          <w:tcPr>
            <w:tcW w:w="1350" w:type="dxa"/>
          </w:tcPr>
          <w:p w:rsidR="009861F2" w:rsidRPr="00B41FDF" w:rsidRDefault="00B41FDF" w:rsidP="00644027">
            <w:pPr>
              <w:jc w:val="center"/>
              <w:rPr>
                <w:sz w:val="20"/>
              </w:rPr>
            </w:pPr>
            <w:r>
              <w:rPr>
                <w:sz w:val="20"/>
              </w:rPr>
              <w:t>T106L31</w:t>
            </w:r>
          </w:p>
        </w:tc>
        <w:tc>
          <w:tcPr>
            <w:tcW w:w="1260" w:type="dxa"/>
          </w:tcPr>
          <w:p w:rsidR="009861F2" w:rsidRPr="00B41FDF" w:rsidRDefault="00B41FDF" w:rsidP="009861F2">
            <w:pPr>
              <w:jc w:val="center"/>
              <w:rPr>
                <w:sz w:val="20"/>
              </w:rPr>
            </w:pPr>
            <w:r>
              <w:rPr>
                <w:sz w:val="20"/>
              </w:rPr>
              <w:t>OI</w:t>
            </w:r>
          </w:p>
        </w:tc>
        <w:tc>
          <w:tcPr>
            <w:tcW w:w="1260" w:type="dxa"/>
          </w:tcPr>
          <w:p w:rsidR="009861F2" w:rsidRPr="00B41FDF" w:rsidRDefault="009861F2" w:rsidP="009861F2">
            <w:pPr>
              <w:jc w:val="center"/>
              <w:rPr>
                <w:sz w:val="20"/>
              </w:rPr>
            </w:pPr>
            <w:r w:rsidRPr="00B41FDF">
              <w:rPr>
                <w:sz w:val="20"/>
              </w:rPr>
              <w:t>No</w:t>
            </w:r>
          </w:p>
        </w:tc>
        <w:tc>
          <w:tcPr>
            <w:tcW w:w="1008" w:type="dxa"/>
          </w:tcPr>
          <w:p w:rsidR="009861F2" w:rsidRPr="00B41FDF" w:rsidRDefault="009861F2" w:rsidP="009861F2">
            <w:pPr>
              <w:jc w:val="center"/>
              <w:rPr>
                <w:sz w:val="20"/>
              </w:rPr>
            </w:pPr>
            <w:r w:rsidRPr="00B41FDF">
              <w:rPr>
                <w:sz w:val="20"/>
              </w:rPr>
              <w:t>No</w:t>
            </w:r>
          </w:p>
        </w:tc>
      </w:tr>
      <w:tr w:rsidR="009861F2">
        <w:tc>
          <w:tcPr>
            <w:tcW w:w="1638" w:type="dxa"/>
          </w:tcPr>
          <w:p w:rsidR="009861F2" w:rsidRPr="00B41FDF" w:rsidRDefault="009861F2" w:rsidP="009861F2">
            <w:pPr>
              <w:rPr>
                <w:sz w:val="20"/>
              </w:rPr>
            </w:pPr>
            <w:r w:rsidRPr="00B41FDF">
              <w:rPr>
                <w:sz w:val="20"/>
              </w:rPr>
              <w:t>NCEP/NCAR R1</w:t>
            </w:r>
          </w:p>
        </w:tc>
        <w:tc>
          <w:tcPr>
            <w:tcW w:w="1530" w:type="dxa"/>
          </w:tcPr>
          <w:p w:rsidR="009861F2" w:rsidRPr="00B41FDF" w:rsidRDefault="009861F2" w:rsidP="009861F2">
            <w:pPr>
              <w:rPr>
                <w:sz w:val="20"/>
              </w:rPr>
            </w:pPr>
            <w:r w:rsidRPr="00B41FDF">
              <w:rPr>
                <w:sz w:val="20"/>
              </w:rPr>
              <w:t>NCEP</w:t>
            </w:r>
          </w:p>
        </w:tc>
        <w:tc>
          <w:tcPr>
            <w:tcW w:w="1530" w:type="dxa"/>
          </w:tcPr>
          <w:p w:rsidR="009861F2" w:rsidRPr="00B41FDF" w:rsidRDefault="00B41FDF" w:rsidP="00B41FDF">
            <w:pPr>
              <w:jc w:val="center"/>
              <w:rPr>
                <w:sz w:val="20"/>
              </w:rPr>
            </w:pPr>
            <w:r>
              <w:rPr>
                <w:sz w:val="20"/>
              </w:rPr>
              <w:t>1955-present</w:t>
            </w:r>
          </w:p>
        </w:tc>
        <w:tc>
          <w:tcPr>
            <w:tcW w:w="1350" w:type="dxa"/>
          </w:tcPr>
          <w:p w:rsidR="009861F2" w:rsidRPr="00B41FDF" w:rsidRDefault="009861F2" w:rsidP="00644027">
            <w:pPr>
              <w:jc w:val="center"/>
              <w:rPr>
                <w:sz w:val="20"/>
              </w:rPr>
            </w:pPr>
          </w:p>
        </w:tc>
        <w:tc>
          <w:tcPr>
            <w:tcW w:w="1260" w:type="dxa"/>
          </w:tcPr>
          <w:p w:rsidR="009861F2" w:rsidRPr="00B41FDF" w:rsidRDefault="009861F2" w:rsidP="009861F2">
            <w:pPr>
              <w:jc w:val="center"/>
              <w:rPr>
                <w:sz w:val="20"/>
              </w:rPr>
            </w:pPr>
            <w:r w:rsidRPr="00B41FDF">
              <w:rPr>
                <w:sz w:val="20"/>
              </w:rPr>
              <w:t>3D-Var</w:t>
            </w:r>
          </w:p>
        </w:tc>
        <w:tc>
          <w:tcPr>
            <w:tcW w:w="1260" w:type="dxa"/>
          </w:tcPr>
          <w:p w:rsidR="009861F2" w:rsidRPr="00B41FDF" w:rsidRDefault="009861F2" w:rsidP="009861F2">
            <w:pPr>
              <w:jc w:val="center"/>
              <w:rPr>
                <w:sz w:val="20"/>
              </w:rPr>
            </w:pPr>
            <w:r w:rsidRPr="00B41FDF">
              <w:rPr>
                <w:sz w:val="20"/>
              </w:rPr>
              <w:t>No</w:t>
            </w:r>
          </w:p>
        </w:tc>
        <w:tc>
          <w:tcPr>
            <w:tcW w:w="1008" w:type="dxa"/>
          </w:tcPr>
          <w:p w:rsidR="009861F2" w:rsidRPr="00B41FDF" w:rsidRDefault="009861F2" w:rsidP="009861F2">
            <w:pPr>
              <w:jc w:val="center"/>
              <w:rPr>
                <w:sz w:val="20"/>
              </w:rPr>
            </w:pPr>
            <w:r w:rsidRPr="00B41FDF">
              <w:rPr>
                <w:sz w:val="20"/>
              </w:rPr>
              <w:t>No</w:t>
            </w:r>
          </w:p>
        </w:tc>
      </w:tr>
      <w:tr w:rsidR="009861F2">
        <w:tc>
          <w:tcPr>
            <w:tcW w:w="1638" w:type="dxa"/>
          </w:tcPr>
          <w:p w:rsidR="009861F2" w:rsidRPr="00B41FDF" w:rsidRDefault="009861F2" w:rsidP="009861F2">
            <w:pPr>
              <w:rPr>
                <w:sz w:val="20"/>
              </w:rPr>
            </w:pPr>
            <w:r w:rsidRPr="00B41FDF">
              <w:rPr>
                <w:sz w:val="20"/>
              </w:rPr>
              <w:t>NCEP/DOE R1</w:t>
            </w:r>
          </w:p>
        </w:tc>
        <w:tc>
          <w:tcPr>
            <w:tcW w:w="1530" w:type="dxa"/>
          </w:tcPr>
          <w:p w:rsidR="009861F2" w:rsidRPr="00B41FDF" w:rsidRDefault="009861F2" w:rsidP="009861F2">
            <w:pPr>
              <w:rPr>
                <w:sz w:val="20"/>
              </w:rPr>
            </w:pPr>
            <w:r w:rsidRPr="00B41FDF">
              <w:rPr>
                <w:sz w:val="20"/>
              </w:rPr>
              <w:t>NCEP</w:t>
            </w:r>
          </w:p>
        </w:tc>
        <w:tc>
          <w:tcPr>
            <w:tcW w:w="1530" w:type="dxa"/>
          </w:tcPr>
          <w:p w:rsidR="009861F2" w:rsidRPr="00B41FDF" w:rsidRDefault="00B41FDF" w:rsidP="00B41FDF">
            <w:pPr>
              <w:jc w:val="center"/>
              <w:rPr>
                <w:sz w:val="20"/>
              </w:rPr>
            </w:pPr>
            <w:r>
              <w:rPr>
                <w:sz w:val="20"/>
              </w:rPr>
              <w:t>1979-present</w:t>
            </w:r>
          </w:p>
        </w:tc>
        <w:tc>
          <w:tcPr>
            <w:tcW w:w="1350" w:type="dxa"/>
          </w:tcPr>
          <w:p w:rsidR="009861F2" w:rsidRPr="00B41FDF" w:rsidRDefault="009861F2" w:rsidP="00644027">
            <w:pPr>
              <w:jc w:val="center"/>
              <w:rPr>
                <w:sz w:val="20"/>
              </w:rPr>
            </w:pPr>
          </w:p>
        </w:tc>
        <w:tc>
          <w:tcPr>
            <w:tcW w:w="1260" w:type="dxa"/>
          </w:tcPr>
          <w:p w:rsidR="009861F2" w:rsidRPr="00B41FDF" w:rsidRDefault="009861F2" w:rsidP="009861F2">
            <w:pPr>
              <w:jc w:val="center"/>
              <w:rPr>
                <w:sz w:val="20"/>
              </w:rPr>
            </w:pPr>
            <w:r w:rsidRPr="00B41FDF">
              <w:rPr>
                <w:sz w:val="20"/>
              </w:rPr>
              <w:t>3D-Var</w:t>
            </w:r>
          </w:p>
        </w:tc>
        <w:tc>
          <w:tcPr>
            <w:tcW w:w="1260" w:type="dxa"/>
          </w:tcPr>
          <w:p w:rsidR="009861F2" w:rsidRPr="00B41FDF" w:rsidRDefault="009861F2" w:rsidP="009861F2">
            <w:pPr>
              <w:jc w:val="center"/>
              <w:rPr>
                <w:sz w:val="20"/>
              </w:rPr>
            </w:pPr>
            <w:r w:rsidRPr="00B41FDF">
              <w:rPr>
                <w:sz w:val="20"/>
              </w:rPr>
              <w:t>No</w:t>
            </w:r>
          </w:p>
        </w:tc>
        <w:tc>
          <w:tcPr>
            <w:tcW w:w="1008" w:type="dxa"/>
          </w:tcPr>
          <w:p w:rsidR="009861F2" w:rsidRPr="00B41FDF" w:rsidRDefault="009861F2" w:rsidP="009861F2">
            <w:pPr>
              <w:jc w:val="center"/>
              <w:rPr>
                <w:sz w:val="20"/>
              </w:rPr>
            </w:pPr>
            <w:r w:rsidRPr="00B41FDF">
              <w:rPr>
                <w:sz w:val="20"/>
              </w:rPr>
              <w:t>No</w:t>
            </w:r>
          </w:p>
        </w:tc>
      </w:tr>
      <w:tr w:rsidR="009861F2">
        <w:tc>
          <w:tcPr>
            <w:tcW w:w="1638" w:type="dxa"/>
          </w:tcPr>
          <w:p w:rsidR="009861F2" w:rsidRPr="00B41FDF" w:rsidRDefault="009861F2" w:rsidP="009861F2">
            <w:pPr>
              <w:rPr>
                <w:sz w:val="20"/>
              </w:rPr>
            </w:pPr>
            <w:r w:rsidRPr="00B41FDF">
              <w:rPr>
                <w:sz w:val="20"/>
              </w:rPr>
              <w:t>ERA-40</w:t>
            </w:r>
          </w:p>
        </w:tc>
        <w:tc>
          <w:tcPr>
            <w:tcW w:w="1530" w:type="dxa"/>
          </w:tcPr>
          <w:p w:rsidR="009861F2" w:rsidRPr="00B41FDF" w:rsidRDefault="009861F2" w:rsidP="009861F2">
            <w:pPr>
              <w:rPr>
                <w:sz w:val="20"/>
              </w:rPr>
            </w:pPr>
            <w:r w:rsidRPr="00B41FDF">
              <w:rPr>
                <w:sz w:val="20"/>
              </w:rPr>
              <w:t>ECMWF</w:t>
            </w:r>
          </w:p>
        </w:tc>
        <w:tc>
          <w:tcPr>
            <w:tcW w:w="1530" w:type="dxa"/>
          </w:tcPr>
          <w:p w:rsidR="009861F2" w:rsidRPr="00B41FDF" w:rsidRDefault="00B41FDF" w:rsidP="00B41FDF">
            <w:pPr>
              <w:jc w:val="center"/>
              <w:rPr>
                <w:sz w:val="20"/>
              </w:rPr>
            </w:pPr>
            <w:r>
              <w:rPr>
                <w:sz w:val="20"/>
              </w:rPr>
              <w:t>9/1957-8/2002</w:t>
            </w:r>
          </w:p>
        </w:tc>
        <w:tc>
          <w:tcPr>
            <w:tcW w:w="1350" w:type="dxa"/>
          </w:tcPr>
          <w:p w:rsidR="009861F2" w:rsidRPr="00B41FDF" w:rsidRDefault="00B41FDF" w:rsidP="00644027">
            <w:pPr>
              <w:jc w:val="center"/>
              <w:rPr>
                <w:sz w:val="20"/>
              </w:rPr>
            </w:pPr>
            <w:r>
              <w:rPr>
                <w:sz w:val="20"/>
              </w:rPr>
              <w:t>T159L60</w:t>
            </w:r>
          </w:p>
        </w:tc>
        <w:tc>
          <w:tcPr>
            <w:tcW w:w="1260" w:type="dxa"/>
          </w:tcPr>
          <w:p w:rsidR="009861F2" w:rsidRPr="00B41FDF" w:rsidRDefault="009861F2" w:rsidP="009861F2">
            <w:pPr>
              <w:jc w:val="center"/>
              <w:rPr>
                <w:sz w:val="20"/>
              </w:rPr>
            </w:pPr>
            <w:r w:rsidRPr="00B41FDF">
              <w:rPr>
                <w:sz w:val="20"/>
              </w:rPr>
              <w:t>3D-Var</w:t>
            </w:r>
          </w:p>
        </w:tc>
        <w:tc>
          <w:tcPr>
            <w:tcW w:w="1260" w:type="dxa"/>
          </w:tcPr>
          <w:p w:rsidR="009861F2" w:rsidRPr="00B41FDF" w:rsidRDefault="009861F2" w:rsidP="009861F2">
            <w:pPr>
              <w:jc w:val="center"/>
              <w:rPr>
                <w:sz w:val="20"/>
              </w:rPr>
            </w:pPr>
            <w:r w:rsidRPr="00B41FDF">
              <w:rPr>
                <w:sz w:val="20"/>
              </w:rPr>
              <w:t>Yes</w:t>
            </w:r>
          </w:p>
        </w:tc>
        <w:tc>
          <w:tcPr>
            <w:tcW w:w="1008" w:type="dxa"/>
          </w:tcPr>
          <w:p w:rsidR="009861F2" w:rsidRPr="00B41FDF" w:rsidRDefault="009861F2" w:rsidP="009861F2">
            <w:pPr>
              <w:jc w:val="center"/>
              <w:rPr>
                <w:sz w:val="20"/>
              </w:rPr>
            </w:pPr>
            <w:r w:rsidRPr="00B41FDF">
              <w:rPr>
                <w:sz w:val="20"/>
              </w:rPr>
              <w:t>No</w:t>
            </w:r>
          </w:p>
        </w:tc>
      </w:tr>
      <w:tr w:rsidR="009861F2">
        <w:tc>
          <w:tcPr>
            <w:tcW w:w="1638" w:type="dxa"/>
          </w:tcPr>
          <w:p w:rsidR="009861F2" w:rsidRPr="00B41FDF" w:rsidRDefault="009861F2" w:rsidP="009861F2">
            <w:pPr>
              <w:rPr>
                <w:sz w:val="20"/>
              </w:rPr>
            </w:pPr>
            <w:r w:rsidRPr="00B41FDF">
              <w:rPr>
                <w:sz w:val="20"/>
              </w:rPr>
              <w:t>JRA-25</w:t>
            </w:r>
          </w:p>
        </w:tc>
        <w:tc>
          <w:tcPr>
            <w:tcW w:w="1530" w:type="dxa"/>
          </w:tcPr>
          <w:p w:rsidR="009861F2" w:rsidRPr="00B41FDF" w:rsidRDefault="009861F2" w:rsidP="009861F2">
            <w:pPr>
              <w:rPr>
                <w:sz w:val="20"/>
              </w:rPr>
            </w:pPr>
            <w:r w:rsidRPr="00B41FDF">
              <w:rPr>
                <w:sz w:val="20"/>
              </w:rPr>
              <w:t>JMA</w:t>
            </w:r>
          </w:p>
        </w:tc>
        <w:tc>
          <w:tcPr>
            <w:tcW w:w="1530" w:type="dxa"/>
          </w:tcPr>
          <w:p w:rsidR="009861F2" w:rsidRPr="00B41FDF" w:rsidRDefault="00B41FDF" w:rsidP="00B41FDF">
            <w:pPr>
              <w:jc w:val="center"/>
              <w:rPr>
                <w:sz w:val="20"/>
              </w:rPr>
            </w:pPr>
            <w:r>
              <w:rPr>
                <w:sz w:val="20"/>
              </w:rPr>
              <w:t>1979-present</w:t>
            </w:r>
          </w:p>
        </w:tc>
        <w:tc>
          <w:tcPr>
            <w:tcW w:w="1350" w:type="dxa"/>
          </w:tcPr>
          <w:p w:rsidR="009861F2" w:rsidRPr="00B41FDF" w:rsidRDefault="009861F2" w:rsidP="00644027">
            <w:pPr>
              <w:jc w:val="center"/>
              <w:rPr>
                <w:sz w:val="20"/>
              </w:rPr>
            </w:pPr>
          </w:p>
        </w:tc>
        <w:tc>
          <w:tcPr>
            <w:tcW w:w="1260" w:type="dxa"/>
          </w:tcPr>
          <w:p w:rsidR="009861F2" w:rsidRPr="00B41FDF" w:rsidRDefault="009861F2" w:rsidP="009861F2">
            <w:pPr>
              <w:jc w:val="center"/>
              <w:rPr>
                <w:sz w:val="20"/>
              </w:rPr>
            </w:pPr>
            <w:r w:rsidRPr="00B41FDF">
              <w:rPr>
                <w:sz w:val="20"/>
              </w:rPr>
              <w:t>3D-Var</w:t>
            </w:r>
          </w:p>
        </w:tc>
        <w:tc>
          <w:tcPr>
            <w:tcW w:w="1260" w:type="dxa"/>
          </w:tcPr>
          <w:p w:rsidR="009861F2" w:rsidRPr="00B41FDF" w:rsidRDefault="009861F2" w:rsidP="009861F2">
            <w:pPr>
              <w:jc w:val="center"/>
              <w:rPr>
                <w:sz w:val="20"/>
              </w:rPr>
            </w:pPr>
            <w:r w:rsidRPr="00B41FDF">
              <w:rPr>
                <w:sz w:val="20"/>
              </w:rPr>
              <w:t>Yes</w:t>
            </w:r>
          </w:p>
        </w:tc>
        <w:tc>
          <w:tcPr>
            <w:tcW w:w="1008" w:type="dxa"/>
          </w:tcPr>
          <w:p w:rsidR="009861F2" w:rsidRPr="00B41FDF" w:rsidRDefault="00644027" w:rsidP="009861F2">
            <w:pPr>
              <w:jc w:val="center"/>
              <w:rPr>
                <w:sz w:val="20"/>
              </w:rPr>
            </w:pPr>
            <w:r>
              <w:rPr>
                <w:sz w:val="20"/>
              </w:rPr>
              <w:t>Yes</w:t>
            </w:r>
            <w:r w:rsidR="004035E2" w:rsidRPr="00B41FDF">
              <w:rPr>
                <w:sz w:val="20"/>
              </w:rPr>
              <w:t>?</w:t>
            </w:r>
          </w:p>
        </w:tc>
      </w:tr>
      <w:tr w:rsidR="009861F2">
        <w:tc>
          <w:tcPr>
            <w:tcW w:w="1638" w:type="dxa"/>
          </w:tcPr>
          <w:p w:rsidR="009861F2" w:rsidRPr="00B41FDF" w:rsidRDefault="009861F2" w:rsidP="009861F2">
            <w:pPr>
              <w:rPr>
                <w:sz w:val="20"/>
              </w:rPr>
            </w:pPr>
            <w:r w:rsidRPr="00B41FDF">
              <w:rPr>
                <w:sz w:val="20"/>
              </w:rPr>
              <w:t>ERA-Interim</w:t>
            </w:r>
          </w:p>
        </w:tc>
        <w:tc>
          <w:tcPr>
            <w:tcW w:w="1530" w:type="dxa"/>
          </w:tcPr>
          <w:p w:rsidR="009861F2" w:rsidRPr="00B41FDF" w:rsidRDefault="009861F2" w:rsidP="009861F2">
            <w:pPr>
              <w:rPr>
                <w:sz w:val="20"/>
              </w:rPr>
            </w:pPr>
            <w:r w:rsidRPr="00B41FDF">
              <w:rPr>
                <w:sz w:val="20"/>
              </w:rPr>
              <w:t>ECMWF</w:t>
            </w:r>
          </w:p>
        </w:tc>
        <w:tc>
          <w:tcPr>
            <w:tcW w:w="1530" w:type="dxa"/>
          </w:tcPr>
          <w:p w:rsidR="009861F2" w:rsidRPr="00B41FDF" w:rsidRDefault="00915AAA" w:rsidP="00B41FDF">
            <w:pPr>
              <w:jc w:val="center"/>
              <w:rPr>
                <w:sz w:val="20"/>
              </w:rPr>
            </w:pPr>
            <w:r>
              <w:rPr>
                <w:sz w:val="20"/>
              </w:rPr>
              <w:t>1989</w:t>
            </w:r>
            <w:r w:rsidR="00B41FDF">
              <w:rPr>
                <w:sz w:val="20"/>
              </w:rPr>
              <w:t>-present</w:t>
            </w:r>
          </w:p>
        </w:tc>
        <w:tc>
          <w:tcPr>
            <w:tcW w:w="1350" w:type="dxa"/>
          </w:tcPr>
          <w:p w:rsidR="009861F2" w:rsidRPr="00B41FDF" w:rsidRDefault="00915AAA" w:rsidP="00644027">
            <w:pPr>
              <w:jc w:val="center"/>
              <w:rPr>
                <w:sz w:val="20"/>
              </w:rPr>
            </w:pPr>
            <w:r>
              <w:rPr>
                <w:sz w:val="20"/>
              </w:rPr>
              <w:t>T255L60</w:t>
            </w:r>
          </w:p>
        </w:tc>
        <w:tc>
          <w:tcPr>
            <w:tcW w:w="1260" w:type="dxa"/>
          </w:tcPr>
          <w:p w:rsidR="009861F2" w:rsidRPr="00B41FDF" w:rsidRDefault="009861F2" w:rsidP="009861F2">
            <w:pPr>
              <w:jc w:val="center"/>
              <w:rPr>
                <w:sz w:val="20"/>
              </w:rPr>
            </w:pPr>
            <w:r w:rsidRPr="00B41FDF">
              <w:rPr>
                <w:sz w:val="20"/>
              </w:rPr>
              <w:t>4D-Var</w:t>
            </w:r>
          </w:p>
        </w:tc>
        <w:tc>
          <w:tcPr>
            <w:tcW w:w="1260" w:type="dxa"/>
          </w:tcPr>
          <w:p w:rsidR="009861F2" w:rsidRPr="00B41FDF" w:rsidRDefault="004035E2" w:rsidP="009861F2">
            <w:pPr>
              <w:jc w:val="center"/>
              <w:rPr>
                <w:sz w:val="20"/>
              </w:rPr>
            </w:pPr>
            <w:r w:rsidRPr="00B41FDF">
              <w:rPr>
                <w:sz w:val="20"/>
              </w:rPr>
              <w:t>Yes</w:t>
            </w:r>
          </w:p>
        </w:tc>
        <w:tc>
          <w:tcPr>
            <w:tcW w:w="1008" w:type="dxa"/>
          </w:tcPr>
          <w:p w:rsidR="009861F2" w:rsidRPr="00B41FDF" w:rsidRDefault="004035E2" w:rsidP="009861F2">
            <w:pPr>
              <w:jc w:val="center"/>
              <w:rPr>
                <w:sz w:val="20"/>
              </w:rPr>
            </w:pPr>
            <w:r w:rsidRPr="00B41FDF">
              <w:rPr>
                <w:sz w:val="20"/>
              </w:rPr>
              <w:t>Yes</w:t>
            </w:r>
          </w:p>
        </w:tc>
      </w:tr>
      <w:tr w:rsidR="009861F2">
        <w:tc>
          <w:tcPr>
            <w:tcW w:w="1638" w:type="dxa"/>
          </w:tcPr>
          <w:p w:rsidR="009861F2" w:rsidRPr="00B41FDF" w:rsidRDefault="009861F2" w:rsidP="009861F2">
            <w:pPr>
              <w:rPr>
                <w:sz w:val="20"/>
              </w:rPr>
            </w:pPr>
            <w:r w:rsidRPr="00B41FDF">
              <w:rPr>
                <w:sz w:val="20"/>
              </w:rPr>
              <w:t>MERRA</w:t>
            </w:r>
          </w:p>
        </w:tc>
        <w:tc>
          <w:tcPr>
            <w:tcW w:w="1530" w:type="dxa"/>
          </w:tcPr>
          <w:p w:rsidR="009861F2" w:rsidRPr="00B41FDF" w:rsidRDefault="009861F2" w:rsidP="009861F2">
            <w:pPr>
              <w:rPr>
                <w:sz w:val="20"/>
              </w:rPr>
            </w:pPr>
            <w:r w:rsidRPr="00B41FDF">
              <w:rPr>
                <w:sz w:val="20"/>
              </w:rPr>
              <w:t>GMAO</w:t>
            </w:r>
          </w:p>
        </w:tc>
        <w:tc>
          <w:tcPr>
            <w:tcW w:w="1530" w:type="dxa"/>
          </w:tcPr>
          <w:p w:rsidR="009861F2" w:rsidRPr="00B41FDF" w:rsidRDefault="00B41FDF" w:rsidP="00B41FDF">
            <w:pPr>
              <w:jc w:val="center"/>
              <w:rPr>
                <w:sz w:val="20"/>
              </w:rPr>
            </w:pPr>
            <w:r w:rsidRPr="00B41FDF">
              <w:rPr>
                <w:sz w:val="20"/>
              </w:rPr>
              <w:t>1979-present</w:t>
            </w:r>
          </w:p>
        </w:tc>
        <w:tc>
          <w:tcPr>
            <w:tcW w:w="1350" w:type="dxa"/>
          </w:tcPr>
          <w:p w:rsidR="009861F2" w:rsidRPr="00B41FDF" w:rsidRDefault="00B41FDF" w:rsidP="00644027">
            <w:pPr>
              <w:jc w:val="center"/>
              <w:rPr>
                <w:sz w:val="20"/>
              </w:rPr>
            </w:pPr>
            <w:r>
              <w:rPr>
                <w:sz w:val="20"/>
              </w:rPr>
              <w:t>½ ×2/3×72L</w:t>
            </w:r>
          </w:p>
        </w:tc>
        <w:tc>
          <w:tcPr>
            <w:tcW w:w="1260" w:type="dxa"/>
          </w:tcPr>
          <w:p w:rsidR="009861F2" w:rsidRPr="00B41FDF" w:rsidRDefault="009861F2" w:rsidP="009861F2">
            <w:pPr>
              <w:jc w:val="center"/>
              <w:rPr>
                <w:sz w:val="20"/>
              </w:rPr>
            </w:pPr>
            <w:r w:rsidRPr="00B41FDF">
              <w:rPr>
                <w:sz w:val="20"/>
              </w:rPr>
              <w:t>3D-Var</w:t>
            </w:r>
          </w:p>
        </w:tc>
        <w:tc>
          <w:tcPr>
            <w:tcW w:w="1260" w:type="dxa"/>
          </w:tcPr>
          <w:p w:rsidR="009861F2" w:rsidRPr="00B41FDF" w:rsidRDefault="004035E2" w:rsidP="009861F2">
            <w:pPr>
              <w:jc w:val="center"/>
              <w:rPr>
                <w:sz w:val="20"/>
              </w:rPr>
            </w:pPr>
            <w:r w:rsidRPr="00B41FDF">
              <w:rPr>
                <w:sz w:val="20"/>
              </w:rPr>
              <w:t>Yes</w:t>
            </w:r>
          </w:p>
        </w:tc>
        <w:tc>
          <w:tcPr>
            <w:tcW w:w="1008" w:type="dxa"/>
          </w:tcPr>
          <w:p w:rsidR="009861F2" w:rsidRPr="00B41FDF" w:rsidRDefault="004035E2" w:rsidP="009861F2">
            <w:pPr>
              <w:jc w:val="center"/>
              <w:rPr>
                <w:sz w:val="20"/>
              </w:rPr>
            </w:pPr>
            <w:r w:rsidRPr="00B41FDF">
              <w:rPr>
                <w:sz w:val="20"/>
              </w:rPr>
              <w:t>Yes</w:t>
            </w:r>
          </w:p>
        </w:tc>
      </w:tr>
      <w:tr w:rsidR="009861F2">
        <w:tc>
          <w:tcPr>
            <w:tcW w:w="1638" w:type="dxa"/>
          </w:tcPr>
          <w:p w:rsidR="009861F2" w:rsidRPr="00B41FDF" w:rsidRDefault="009861F2" w:rsidP="009861F2">
            <w:pPr>
              <w:rPr>
                <w:sz w:val="20"/>
              </w:rPr>
            </w:pPr>
            <w:r w:rsidRPr="00B41FDF">
              <w:rPr>
                <w:sz w:val="20"/>
              </w:rPr>
              <w:t>JRA-55</w:t>
            </w:r>
          </w:p>
        </w:tc>
        <w:tc>
          <w:tcPr>
            <w:tcW w:w="1530" w:type="dxa"/>
          </w:tcPr>
          <w:p w:rsidR="009861F2" w:rsidRPr="00B41FDF" w:rsidRDefault="009861F2" w:rsidP="009861F2">
            <w:pPr>
              <w:rPr>
                <w:sz w:val="20"/>
              </w:rPr>
            </w:pPr>
            <w:r w:rsidRPr="00B41FDF">
              <w:rPr>
                <w:sz w:val="20"/>
              </w:rPr>
              <w:t>JMA</w:t>
            </w:r>
          </w:p>
        </w:tc>
        <w:tc>
          <w:tcPr>
            <w:tcW w:w="1530" w:type="dxa"/>
          </w:tcPr>
          <w:p w:rsidR="009861F2" w:rsidRPr="00B41FDF" w:rsidRDefault="009861F2" w:rsidP="00B41FDF">
            <w:pPr>
              <w:jc w:val="center"/>
              <w:rPr>
                <w:sz w:val="20"/>
              </w:rPr>
            </w:pPr>
          </w:p>
        </w:tc>
        <w:tc>
          <w:tcPr>
            <w:tcW w:w="1350" w:type="dxa"/>
          </w:tcPr>
          <w:p w:rsidR="009861F2" w:rsidRPr="00B41FDF" w:rsidRDefault="009861F2" w:rsidP="00644027">
            <w:pPr>
              <w:jc w:val="center"/>
              <w:rPr>
                <w:sz w:val="20"/>
              </w:rPr>
            </w:pPr>
          </w:p>
        </w:tc>
        <w:tc>
          <w:tcPr>
            <w:tcW w:w="1260" w:type="dxa"/>
          </w:tcPr>
          <w:p w:rsidR="009861F2" w:rsidRPr="00B41FDF" w:rsidRDefault="009861F2" w:rsidP="009861F2">
            <w:pPr>
              <w:jc w:val="center"/>
              <w:rPr>
                <w:sz w:val="20"/>
              </w:rPr>
            </w:pPr>
            <w:r w:rsidRPr="00B41FDF">
              <w:rPr>
                <w:sz w:val="20"/>
              </w:rPr>
              <w:t>4D-Var</w:t>
            </w:r>
          </w:p>
        </w:tc>
        <w:tc>
          <w:tcPr>
            <w:tcW w:w="1260" w:type="dxa"/>
          </w:tcPr>
          <w:p w:rsidR="009861F2" w:rsidRPr="00B41FDF" w:rsidRDefault="004035E2" w:rsidP="009861F2">
            <w:pPr>
              <w:jc w:val="center"/>
              <w:rPr>
                <w:sz w:val="20"/>
              </w:rPr>
            </w:pPr>
            <w:r w:rsidRPr="00B41FDF">
              <w:rPr>
                <w:sz w:val="20"/>
              </w:rPr>
              <w:t>Yes</w:t>
            </w:r>
          </w:p>
        </w:tc>
        <w:tc>
          <w:tcPr>
            <w:tcW w:w="1008" w:type="dxa"/>
          </w:tcPr>
          <w:p w:rsidR="009861F2" w:rsidRPr="00B41FDF" w:rsidRDefault="004035E2" w:rsidP="009861F2">
            <w:pPr>
              <w:jc w:val="center"/>
              <w:rPr>
                <w:sz w:val="20"/>
              </w:rPr>
            </w:pPr>
            <w:r w:rsidRPr="00B41FDF">
              <w:rPr>
                <w:sz w:val="20"/>
              </w:rPr>
              <w:t>Yes</w:t>
            </w:r>
          </w:p>
        </w:tc>
      </w:tr>
      <w:tr w:rsidR="00426FB7">
        <w:tc>
          <w:tcPr>
            <w:tcW w:w="1638" w:type="dxa"/>
          </w:tcPr>
          <w:p w:rsidR="00426FB7" w:rsidRPr="00B41FDF" w:rsidRDefault="00426FB7" w:rsidP="009861F2">
            <w:pPr>
              <w:rPr>
                <w:sz w:val="20"/>
              </w:rPr>
            </w:pPr>
            <w:r>
              <w:rPr>
                <w:sz w:val="20"/>
              </w:rPr>
              <w:t>20CR</w:t>
            </w:r>
          </w:p>
        </w:tc>
        <w:tc>
          <w:tcPr>
            <w:tcW w:w="1530" w:type="dxa"/>
          </w:tcPr>
          <w:p w:rsidR="00426FB7" w:rsidRPr="00B41FDF" w:rsidRDefault="00426FB7" w:rsidP="009861F2">
            <w:pPr>
              <w:rPr>
                <w:sz w:val="20"/>
              </w:rPr>
            </w:pPr>
            <w:r>
              <w:rPr>
                <w:sz w:val="20"/>
              </w:rPr>
              <w:t>CIRES</w:t>
            </w:r>
          </w:p>
        </w:tc>
        <w:tc>
          <w:tcPr>
            <w:tcW w:w="1530" w:type="dxa"/>
          </w:tcPr>
          <w:p w:rsidR="00426FB7" w:rsidRPr="00B41FDF" w:rsidRDefault="00426FB7" w:rsidP="00B41FDF">
            <w:pPr>
              <w:jc w:val="center"/>
              <w:rPr>
                <w:sz w:val="20"/>
              </w:rPr>
            </w:pPr>
          </w:p>
        </w:tc>
        <w:tc>
          <w:tcPr>
            <w:tcW w:w="1350" w:type="dxa"/>
          </w:tcPr>
          <w:p w:rsidR="00426FB7" w:rsidRPr="00B41FDF" w:rsidRDefault="00426FB7" w:rsidP="00644027">
            <w:pPr>
              <w:jc w:val="center"/>
              <w:rPr>
                <w:sz w:val="20"/>
              </w:rPr>
            </w:pPr>
          </w:p>
        </w:tc>
        <w:tc>
          <w:tcPr>
            <w:tcW w:w="1260" w:type="dxa"/>
          </w:tcPr>
          <w:p w:rsidR="00426FB7" w:rsidRPr="00B41FDF" w:rsidRDefault="00426FB7" w:rsidP="009861F2">
            <w:pPr>
              <w:jc w:val="center"/>
              <w:rPr>
                <w:sz w:val="20"/>
              </w:rPr>
            </w:pPr>
            <w:r>
              <w:rPr>
                <w:sz w:val="20"/>
              </w:rPr>
              <w:t>EnKF</w:t>
            </w:r>
          </w:p>
        </w:tc>
        <w:tc>
          <w:tcPr>
            <w:tcW w:w="1260" w:type="dxa"/>
          </w:tcPr>
          <w:p w:rsidR="00426FB7" w:rsidRPr="00B41FDF" w:rsidRDefault="00426FB7" w:rsidP="009861F2">
            <w:pPr>
              <w:jc w:val="center"/>
              <w:rPr>
                <w:sz w:val="20"/>
              </w:rPr>
            </w:pPr>
            <w:r>
              <w:rPr>
                <w:sz w:val="20"/>
              </w:rPr>
              <w:t>No</w:t>
            </w:r>
          </w:p>
        </w:tc>
        <w:tc>
          <w:tcPr>
            <w:tcW w:w="1008" w:type="dxa"/>
          </w:tcPr>
          <w:p w:rsidR="00426FB7" w:rsidRPr="00B41FDF" w:rsidRDefault="00426FB7" w:rsidP="009861F2">
            <w:pPr>
              <w:jc w:val="center"/>
              <w:rPr>
                <w:sz w:val="20"/>
              </w:rPr>
            </w:pPr>
            <w:r>
              <w:rPr>
                <w:sz w:val="20"/>
              </w:rPr>
              <w:t>No</w:t>
            </w:r>
          </w:p>
        </w:tc>
      </w:tr>
    </w:tbl>
    <w:p w:rsidR="002C20C1" w:rsidRPr="002F2FEB" w:rsidRDefault="002C20C1" w:rsidP="002F2FEB">
      <w:pPr>
        <w:pStyle w:val="AppendixA"/>
      </w:pPr>
    </w:p>
    <w:p w:rsidR="004035E2" w:rsidRDefault="004035E2">
      <w:pPr>
        <w:spacing w:line="276" w:lineRule="auto"/>
        <w:jc w:val="left"/>
      </w:pPr>
      <w:r>
        <w:br w:type="page"/>
      </w:r>
    </w:p>
    <w:p w:rsidR="004035E2" w:rsidRDefault="004035E2" w:rsidP="004035E2">
      <w:pPr>
        <w:pStyle w:val="AppendixA"/>
      </w:pPr>
      <w:r>
        <w:t>Appendix C: Acronyms</w:t>
      </w:r>
    </w:p>
    <w:p w:rsidR="004035E2" w:rsidRDefault="004035E2" w:rsidP="004035E2">
      <w:pPr>
        <w:pStyle w:val="AppendixA"/>
      </w:pPr>
    </w:p>
    <w:p w:rsidR="00176249" w:rsidRDefault="00293290" w:rsidP="00293290">
      <w:pPr>
        <w:widowControl w:val="0"/>
        <w:autoSpaceDE w:val="0"/>
        <w:autoSpaceDN w:val="0"/>
        <w:adjustRightInd w:val="0"/>
        <w:spacing w:after="0"/>
        <w:rPr>
          <w:sz w:val="22"/>
        </w:rPr>
      </w:pPr>
      <w:proofErr w:type="gramStart"/>
      <w:r w:rsidRPr="00293290">
        <w:rPr>
          <w:sz w:val="22"/>
        </w:rPr>
        <w:t>3D</w:t>
      </w:r>
      <w:r w:rsidR="00176249">
        <w:rPr>
          <w:sz w:val="22"/>
        </w:rPr>
        <w:t xml:space="preserve">-Var </w:t>
      </w:r>
      <w:r w:rsidR="00176249">
        <w:rPr>
          <w:sz w:val="22"/>
        </w:rPr>
        <w:tab/>
      </w:r>
      <w:r w:rsidRPr="00293290">
        <w:rPr>
          <w:sz w:val="22"/>
        </w:rPr>
        <w:t>Three-dimensional Variational assimilation</w:t>
      </w:r>
      <w:proofErr w:type="gramEnd"/>
    </w:p>
    <w:p w:rsidR="00225EB4" w:rsidRDefault="00176249" w:rsidP="00293290">
      <w:pPr>
        <w:widowControl w:val="0"/>
        <w:autoSpaceDE w:val="0"/>
        <w:autoSpaceDN w:val="0"/>
        <w:adjustRightInd w:val="0"/>
        <w:spacing w:after="0"/>
        <w:rPr>
          <w:sz w:val="22"/>
        </w:rPr>
      </w:pPr>
      <w:proofErr w:type="gramStart"/>
      <w:r>
        <w:rPr>
          <w:sz w:val="22"/>
        </w:rPr>
        <w:t>4</w:t>
      </w:r>
      <w:r w:rsidRPr="00293290">
        <w:rPr>
          <w:sz w:val="22"/>
        </w:rPr>
        <w:t>D</w:t>
      </w:r>
      <w:r>
        <w:rPr>
          <w:sz w:val="22"/>
        </w:rPr>
        <w:t xml:space="preserve">-Var </w:t>
      </w:r>
      <w:r>
        <w:rPr>
          <w:sz w:val="22"/>
        </w:rPr>
        <w:tab/>
        <w:t>Four</w:t>
      </w:r>
      <w:r w:rsidRPr="00293290">
        <w:rPr>
          <w:sz w:val="22"/>
        </w:rPr>
        <w:t>-dimen</w:t>
      </w:r>
      <w:r>
        <w:rPr>
          <w:sz w:val="22"/>
        </w:rPr>
        <w:t>sional Variational assimilation</w:t>
      </w:r>
      <w:proofErr w:type="gramEnd"/>
    </w:p>
    <w:p w:rsidR="00293290" w:rsidRPr="00293290" w:rsidRDefault="00225EB4" w:rsidP="00293290">
      <w:pPr>
        <w:widowControl w:val="0"/>
        <w:autoSpaceDE w:val="0"/>
        <w:autoSpaceDN w:val="0"/>
        <w:adjustRightInd w:val="0"/>
        <w:spacing w:after="0"/>
        <w:rPr>
          <w:sz w:val="22"/>
        </w:rPr>
      </w:pPr>
      <w:r>
        <w:rPr>
          <w:sz w:val="22"/>
        </w:rPr>
        <w:t>20CR</w:t>
      </w:r>
      <w:r w:rsidR="00E4387F">
        <w:rPr>
          <w:sz w:val="22"/>
        </w:rPr>
        <w:tab/>
      </w:r>
      <w:r w:rsidR="00E4387F">
        <w:rPr>
          <w:sz w:val="22"/>
        </w:rPr>
        <w:tab/>
        <w:t xml:space="preserve">(CIRES) </w:t>
      </w:r>
      <w:r w:rsidR="00E4387F" w:rsidRPr="00E4387F">
        <w:rPr>
          <w:sz w:val="22"/>
        </w:rPr>
        <w:t>Twentieth Century Reanalysis</w:t>
      </w:r>
      <w:r w:rsidR="00E4387F">
        <w:t xml:space="preserve"> </w:t>
      </w:r>
    </w:p>
    <w:p w:rsidR="00702D01" w:rsidRDefault="00293290" w:rsidP="00293290">
      <w:pPr>
        <w:widowControl w:val="0"/>
        <w:autoSpaceDE w:val="0"/>
        <w:autoSpaceDN w:val="0"/>
        <w:adjustRightInd w:val="0"/>
        <w:spacing w:after="0"/>
        <w:rPr>
          <w:sz w:val="22"/>
        </w:rPr>
      </w:pPr>
      <w:r w:rsidRPr="00293290">
        <w:rPr>
          <w:sz w:val="22"/>
        </w:rPr>
        <w:t>AGCM</w:t>
      </w:r>
      <w:r w:rsidRPr="00293290">
        <w:rPr>
          <w:sz w:val="22"/>
        </w:rPr>
        <w:tab/>
      </w:r>
      <w:r w:rsidRPr="00293290">
        <w:rPr>
          <w:sz w:val="22"/>
        </w:rPr>
        <w:tab/>
        <w:t>Atmospheric General Circulation Model</w:t>
      </w:r>
    </w:p>
    <w:p w:rsidR="00293290" w:rsidRPr="00293290" w:rsidRDefault="00702D01" w:rsidP="00293290">
      <w:pPr>
        <w:widowControl w:val="0"/>
        <w:autoSpaceDE w:val="0"/>
        <w:autoSpaceDN w:val="0"/>
        <w:adjustRightInd w:val="0"/>
        <w:spacing w:after="0"/>
        <w:rPr>
          <w:sz w:val="22"/>
        </w:rPr>
      </w:pPr>
      <w:r>
        <w:rPr>
          <w:sz w:val="22"/>
        </w:rPr>
        <w:t>AIRS</w:t>
      </w:r>
      <w:r>
        <w:rPr>
          <w:sz w:val="22"/>
        </w:rPr>
        <w:tab/>
      </w:r>
      <w:r>
        <w:rPr>
          <w:sz w:val="22"/>
        </w:rPr>
        <w:tab/>
        <w:t>Advanced Infra-Red Sounder</w:t>
      </w:r>
    </w:p>
    <w:p w:rsidR="003F5128" w:rsidRDefault="004035E2" w:rsidP="004035E2">
      <w:pPr>
        <w:spacing w:after="0"/>
        <w:rPr>
          <w:color w:val="000000" w:themeColor="text1"/>
          <w:sz w:val="22"/>
        </w:rPr>
      </w:pPr>
      <w:r w:rsidRPr="00293290">
        <w:rPr>
          <w:color w:val="000000" w:themeColor="text1"/>
          <w:sz w:val="22"/>
        </w:rPr>
        <w:t>AMSU</w:t>
      </w:r>
      <w:r w:rsidRPr="00293290">
        <w:rPr>
          <w:color w:val="000000" w:themeColor="text1"/>
          <w:sz w:val="22"/>
        </w:rPr>
        <w:tab/>
      </w:r>
      <w:r w:rsidRPr="00293290">
        <w:rPr>
          <w:color w:val="000000" w:themeColor="text1"/>
          <w:sz w:val="22"/>
        </w:rPr>
        <w:tab/>
        <w:t>Advanced Microwave Sounding Unit</w:t>
      </w:r>
    </w:p>
    <w:p w:rsidR="00225EB4" w:rsidRDefault="003F5128" w:rsidP="004035E2">
      <w:pPr>
        <w:spacing w:after="0"/>
        <w:rPr>
          <w:color w:val="000000" w:themeColor="text1"/>
          <w:sz w:val="22"/>
        </w:rPr>
      </w:pPr>
      <w:r>
        <w:rPr>
          <w:color w:val="000000" w:themeColor="text1"/>
          <w:sz w:val="22"/>
        </w:rPr>
        <w:t>CCSP</w:t>
      </w:r>
      <w:r>
        <w:rPr>
          <w:color w:val="000000" w:themeColor="text1"/>
          <w:sz w:val="22"/>
        </w:rPr>
        <w:tab/>
      </w:r>
      <w:r>
        <w:rPr>
          <w:color w:val="000000" w:themeColor="text1"/>
          <w:sz w:val="22"/>
        </w:rPr>
        <w:tab/>
        <w:t>(U.S.) Climate Change Science Program</w:t>
      </w:r>
    </w:p>
    <w:p w:rsidR="004035E2" w:rsidRPr="00293290" w:rsidRDefault="00225EB4" w:rsidP="004035E2">
      <w:pPr>
        <w:spacing w:after="0"/>
        <w:rPr>
          <w:color w:val="000000" w:themeColor="text1"/>
          <w:sz w:val="22"/>
        </w:rPr>
      </w:pPr>
      <w:r>
        <w:rPr>
          <w:color w:val="000000" w:themeColor="text1"/>
          <w:sz w:val="22"/>
        </w:rPr>
        <w:t>CERES</w:t>
      </w:r>
      <w:r>
        <w:rPr>
          <w:color w:val="000000" w:themeColor="text1"/>
          <w:sz w:val="22"/>
        </w:rPr>
        <w:tab/>
      </w:r>
      <w:r>
        <w:rPr>
          <w:color w:val="000000" w:themeColor="text1"/>
          <w:sz w:val="22"/>
        </w:rPr>
        <w:tab/>
        <w:t xml:space="preserve">Clouds and the Earth’s Radiant Energy System </w:t>
      </w:r>
      <w:r>
        <w:rPr>
          <w:color w:val="000000" w:themeColor="text1"/>
          <w:sz w:val="22"/>
        </w:rPr>
        <w:tab/>
      </w:r>
    </w:p>
    <w:p w:rsidR="00E4387F" w:rsidRDefault="004035E2" w:rsidP="004035E2">
      <w:pPr>
        <w:spacing w:after="0"/>
        <w:rPr>
          <w:color w:val="000000" w:themeColor="text1"/>
          <w:sz w:val="22"/>
        </w:rPr>
      </w:pPr>
      <w:r w:rsidRPr="00293290">
        <w:rPr>
          <w:color w:val="000000" w:themeColor="text1"/>
          <w:sz w:val="22"/>
        </w:rPr>
        <w:t>CFSR</w:t>
      </w:r>
      <w:r w:rsidRPr="00293290">
        <w:rPr>
          <w:color w:val="000000" w:themeColor="text1"/>
          <w:sz w:val="22"/>
        </w:rPr>
        <w:tab/>
      </w:r>
      <w:r w:rsidRPr="00293290">
        <w:rPr>
          <w:color w:val="000000" w:themeColor="text1"/>
          <w:sz w:val="22"/>
        </w:rPr>
        <w:tab/>
        <w:t>Climate Forecast System Reanalysis</w:t>
      </w:r>
    </w:p>
    <w:p w:rsidR="003F5128" w:rsidRDefault="00E4387F" w:rsidP="004035E2">
      <w:pPr>
        <w:spacing w:after="0"/>
        <w:rPr>
          <w:color w:val="000000" w:themeColor="text1"/>
          <w:sz w:val="22"/>
        </w:rPr>
      </w:pPr>
      <w:r>
        <w:rPr>
          <w:color w:val="000000" w:themeColor="text1"/>
          <w:sz w:val="22"/>
        </w:rPr>
        <w:t>CIRES</w:t>
      </w:r>
      <w:r>
        <w:rPr>
          <w:color w:val="000000" w:themeColor="text1"/>
          <w:sz w:val="22"/>
        </w:rPr>
        <w:tab/>
      </w:r>
      <w:r>
        <w:rPr>
          <w:color w:val="000000" w:themeColor="text1"/>
          <w:sz w:val="22"/>
        </w:rPr>
        <w:tab/>
        <w:t>Cooperative Institute for Research in Environmental Sciences</w:t>
      </w:r>
    </w:p>
    <w:p w:rsidR="00702D01" w:rsidRDefault="003F5128" w:rsidP="004035E2">
      <w:pPr>
        <w:spacing w:after="0"/>
        <w:rPr>
          <w:color w:val="000000" w:themeColor="text1"/>
          <w:sz w:val="22"/>
        </w:rPr>
      </w:pPr>
      <w:r>
        <w:rPr>
          <w:color w:val="000000" w:themeColor="text1"/>
          <w:sz w:val="22"/>
        </w:rPr>
        <w:t>CMAP</w:t>
      </w:r>
      <w:r>
        <w:rPr>
          <w:color w:val="000000" w:themeColor="text1"/>
          <w:sz w:val="22"/>
        </w:rPr>
        <w:tab/>
      </w:r>
      <w:r w:rsidR="00702D01">
        <w:rPr>
          <w:color w:val="000000" w:themeColor="text1"/>
          <w:sz w:val="22"/>
        </w:rPr>
        <w:tab/>
        <w:t>CPC Merged Analysis of Precipitation</w:t>
      </w:r>
      <w:r w:rsidR="004035E2" w:rsidRPr="00293290">
        <w:rPr>
          <w:color w:val="000000" w:themeColor="text1"/>
          <w:sz w:val="22"/>
        </w:rPr>
        <w:tab/>
      </w:r>
    </w:p>
    <w:p w:rsidR="004035E2" w:rsidRPr="00293290" w:rsidRDefault="00702D01" w:rsidP="004035E2">
      <w:pPr>
        <w:spacing w:after="0"/>
        <w:rPr>
          <w:color w:val="000000" w:themeColor="text1"/>
          <w:sz w:val="22"/>
        </w:rPr>
      </w:pPr>
      <w:r>
        <w:rPr>
          <w:color w:val="000000" w:themeColor="text1"/>
          <w:sz w:val="22"/>
        </w:rPr>
        <w:t>CPC</w:t>
      </w:r>
      <w:r>
        <w:rPr>
          <w:color w:val="000000" w:themeColor="text1"/>
          <w:sz w:val="22"/>
        </w:rPr>
        <w:tab/>
      </w:r>
      <w:r>
        <w:rPr>
          <w:color w:val="000000" w:themeColor="text1"/>
          <w:sz w:val="22"/>
        </w:rPr>
        <w:tab/>
        <w:t>(NOAA) Climate Prediction Center</w:t>
      </w:r>
    </w:p>
    <w:p w:rsidR="004035E2" w:rsidRPr="00293290" w:rsidRDefault="004035E2" w:rsidP="004035E2">
      <w:pPr>
        <w:spacing w:after="0"/>
        <w:rPr>
          <w:color w:val="000000" w:themeColor="text1"/>
          <w:sz w:val="22"/>
        </w:rPr>
      </w:pPr>
      <w:r w:rsidRPr="00293290">
        <w:rPr>
          <w:color w:val="000000" w:themeColor="text1"/>
          <w:sz w:val="22"/>
        </w:rPr>
        <w:t>DAO</w:t>
      </w:r>
      <w:r w:rsidRPr="00293290">
        <w:rPr>
          <w:color w:val="000000" w:themeColor="text1"/>
          <w:sz w:val="22"/>
        </w:rPr>
        <w:tab/>
      </w:r>
      <w:r w:rsidRPr="00293290">
        <w:rPr>
          <w:color w:val="000000" w:themeColor="text1"/>
          <w:sz w:val="22"/>
        </w:rPr>
        <w:tab/>
        <w:t>Data Assimilation Office</w:t>
      </w:r>
    </w:p>
    <w:p w:rsidR="004035E2" w:rsidRPr="00293290" w:rsidRDefault="004035E2" w:rsidP="004035E2">
      <w:pPr>
        <w:spacing w:after="0"/>
        <w:rPr>
          <w:color w:val="000000" w:themeColor="text1"/>
          <w:sz w:val="22"/>
        </w:rPr>
      </w:pPr>
      <w:r w:rsidRPr="00293290">
        <w:rPr>
          <w:color w:val="000000" w:themeColor="text1"/>
          <w:sz w:val="22"/>
        </w:rPr>
        <w:t>DOE</w:t>
      </w:r>
      <w:r w:rsidRPr="00293290">
        <w:rPr>
          <w:color w:val="000000" w:themeColor="text1"/>
          <w:sz w:val="22"/>
        </w:rPr>
        <w:tab/>
      </w:r>
      <w:r w:rsidRPr="00293290">
        <w:rPr>
          <w:color w:val="000000" w:themeColor="text1"/>
          <w:sz w:val="22"/>
        </w:rPr>
        <w:tab/>
        <w:t>Department of Energy</w:t>
      </w:r>
    </w:p>
    <w:p w:rsidR="00702D01" w:rsidRDefault="004035E2" w:rsidP="004035E2">
      <w:pPr>
        <w:spacing w:after="0"/>
        <w:rPr>
          <w:color w:val="000000" w:themeColor="text1"/>
          <w:sz w:val="22"/>
        </w:rPr>
      </w:pPr>
      <w:r w:rsidRPr="00293290">
        <w:rPr>
          <w:color w:val="000000" w:themeColor="text1"/>
          <w:sz w:val="22"/>
        </w:rPr>
        <w:t>ECMWF</w:t>
      </w:r>
      <w:r w:rsidRPr="00293290">
        <w:rPr>
          <w:color w:val="000000" w:themeColor="text1"/>
          <w:sz w:val="22"/>
        </w:rPr>
        <w:tab/>
        <w:t>European Center for Medium-range Weather Forecasting</w:t>
      </w:r>
    </w:p>
    <w:p w:rsidR="00702D01" w:rsidRDefault="00702D01" w:rsidP="004035E2">
      <w:pPr>
        <w:spacing w:after="0"/>
        <w:rPr>
          <w:sz w:val="22"/>
        </w:rPr>
      </w:pPr>
      <w:r w:rsidRPr="00702D01">
        <w:rPr>
          <w:sz w:val="22"/>
        </w:rPr>
        <w:t xml:space="preserve">EIG </w:t>
      </w:r>
      <w:r w:rsidRPr="00702D01">
        <w:rPr>
          <w:sz w:val="22"/>
        </w:rPr>
        <w:tab/>
      </w:r>
      <w:r w:rsidRPr="00702D01">
        <w:rPr>
          <w:sz w:val="22"/>
        </w:rPr>
        <w:tab/>
        <w:t xml:space="preserve">Eastward </w:t>
      </w:r>
      <w:proofErr w:type="spellStart"/>
      <w:r w:rsidRPr="00702D01">
        <w:rPr>
          <w:sz w:val="22"/>
        </w:rPr>
        <w:t>Inertio</w:t>
      </w:r>
      <w:proofErr w:type="spellEnd"/>
      <w:r w:rsidRPr="00702D01">
        <w:rPr>
          <w:sz w:val="22"/>
        </w:rPr>
        <w:t xml:space="preserve">-gravity wave </w:t>
      </w:r>
    </w:p>
    <w:p w:rsidR="00702D01" w:rsidRPr="00702D01" w:rsidRDefault="00702D01" w:rsidP="004035E2">
      <w:pPr>
        <w:spacing w:after="0"/>
        <w:rPr>
          <w:sz w:val="22"/>
        </w:rPr>
      </w:pPr>
      <w:r w:rsidRPr="00702D01">
        <w:rPr>
          <w:sz w:val="22"/>
        </w:rPr>
        <w:t xml:space="preserve">ER </w:t>
      </w:r>
      <w:r w:rsidRPr="00702D01">
        <w:rPr>
          <w:sz w:val="22"/>
        </w:rPr>
        <w:tab/>
      </w:r>
      <w:r w:rsidRPr="00702D01">
        <w:rPr>
          <w:sz w:val="22"/>
        </w:rPr>
        <w:tab/>
        <w:t>Equatorial Ros</w:t>
      </w:r>
      <w:r>
        <w:rPr>
          <w:sz w:val="22"/>
        </w:rPr>
        <w:t xml:space="preserve">sby wave </w:t>
      </w:r>
    </w:p>
    <w:p w:rsidR="003F5128" w:rsidRDefault="004035E2" w:rsidP="004035E2">
      <w:pPr>
        <w:spacing w:after="0"/>
        <w:rPr>
          <w:color w:val="000000" w:themeColor="text1"/>
          <w:sz w:val="22"/>
        </w:rPr>
      </w:pPr>
      <w:r w:rsidRPr="00293290">
        <w:rPr>
          <w:color w:val="000000" w:themeColor="text1"/>
          <w:sz w:val="22"/>
        </w:rPr>
        <w:t>GEOS</w:t>
      </w:r>
      <w:r w:rsidRPr="00293290">
        <w:rPr>
          <w:color w:val="000000" w:themeColor="text1"/>
          <w:sz w:val="22"/>
        </w:rPr>
        <w:tab/>
      </w:r>
      <w:r w:rsidRPr="00293290">
        <w:rPr>
          <w:color w:val="000000" w:themeColor="text1"/>
          <w:sz w:val="22"/>
        </w:rPr>
        <w:tab/>
        <w:t>Goddard Earth Observing System</w:t>
      </w:r>
    </w:p>
    <w:p w:rsidR="004035E2" w:rsidRPr="00293290" w:rsidRDefault="003F5128" w:rsidP="004035E2">
      <w:pPr>
        <w:spacing w:after="0"/>
        <w:rPr>
          <w:color w:val="000000" w:themeColor="text1"/>
          <w:sz w:val="22"/>
        </w:rPr>
      </w:pPr>
      <w:r>
        <w:rPr>
          <w:color w:val="000000" w:themeColor="text1"/>
          <w:sz w:val="22"/>
        </w:rPr>
        <w:t>GPCP</w:t>
      </w:r>
      <w:r>
        <w:rPr>
          <w:color w:val="000000" w:themeColor="text1"/>
          <w:sz w:val="22"/>
        </w:rPr>
        <w:tab/>
      </w:r>
      <w:r>
        <w:rPr>
          <w:color w:val="000000" w:themeColor="text1"/>
          <w:sz w:val="22"/>
        </w:rPr>
        <w:tab/>
        <w:t>Global Precipitation Climatology Project</w:t>
      </w:r>
    </w:p>
    <w:p w:rsidR="004035E2" w:rsidRPr="00293290" w:rsidRDefault="004035E2" w:rsidP="004035E2">
      <w:pPr>
        <w:spacing w:after="0"/>
        <w:rPr>
          <w:color w:val="000000" w:themeColor="text1"/>
          <w:sz w:val="22"/>
        </w:rPr>
      </w:pPr>
      <w:r w:rsidRPr="00293290">
        <w:rPr>
          <w:color w:val="000000" w:themeColor="text1"/>
          <w:sz w:val="22"/>
        </w:rPr>
        <w:t>GSI</w:t>
      </w:r>
      <w:r w:rsidRPr="00293290">
        <w:rPr>
          <w:color w:val="000000" w:themeColor="text1"/>
          <w:sz w:val="22"/>
        </w:rPr>
        <w:tab/>
      </w:r>
      <w:r w:rsidRPr="00293290">
        <w:rPr>
          <w:color w:val="000000" w:themeColor="text1"/>
          <w:sz w:val="22"/>
        </w:rPr>
        <w:tab/>
        <w:t>Gridpoint Statistical Interpolation</w:t>
      </w:r>
    </w:p>
    <w:p w:rsidR="004035E2" w:rsidRPr="00293290" w:rsidRDefault="004035E2" w:rsidP="004035E2">
      <w:pPr>
        <w:spacing w:after="0"/>
        <w:rPr>
          <w:color w:val="000000" w:themeColor="text1"/>
          <w:sz w:val="22"/>
        </w:rPr>
      </w:pPr>
      <w:r w:rsidRPr="00293290">
        <w:rPr>
          <w:sz w:val="22"/>
        </w:rPr>
        <w:t>GSICS</w:t>
      </w:r>
      <w:r w:rsidRPr="00293290">
        <w:rPr>
          <w:sz w:val="22"/>
        </w:rPr>
        <w:tab/>
      </w:r>
      <w:r w:rsidRPr="00293290">
        <w:rPr>
          <w:sz w:val="22"/>
        </w:rPr>
        <w:tab/>
        <w:t>Global Space-based Inter-Calibration System</w:t>
      </w:r>
    </w:p>
    <w:p w:rsidR="004035E2" w:rsidRPr="00293290" w:rsidRDefault="004035E2" w:rsidP="004035E2">
      <w:pPr>
        <w:spacing w:after="0"/>
        <w:rPr>
          <w:color w:val="000000" w:themeColor="text1"/>
          <w:sz w:val="22"/>
        </w:rPr>
      </w:pPr>
      <w:r w:rsidRPr="00293290">
        <w:rPr>
          <w:color w:val="000000" w:themeColor="text1"/>
          <w:sz w:val="22"/>
        </w:rPr>
        <w:t>IAU</w:t>
      </w:r>
      <w:r w:rsidRPr="00293290">
        <w:rPr>
          <w:color w:val="000000" w:themeColor="text1"/>
          <w:sz w:val="22"/>
        </w:rPr>
        <w:tab/>
      </w:r>
      <w:r w:rsidRPr="00293290">
        <w:rPr>
          <w:color w:val="000000" w:themeColor="text1"/>
          <w:sz w:val="22"/>
        </w:rPr>
        <w:tab/>
        <w:t>Incremental Analysis Update</w:t>
      </w:r>
    </w:p>
    <w:p w:rsidR="004035E2" w:rsidRPr="00293290" w:rsidRDefault="004035E2" w:rsidP="004035E2">
      <w:pPr>
        <w:spacing w:after="0"/>
        <w:rPr>
          <w:color w:val="000000" w:themeColor="text1"/>
          <w:sz w:val="22"/>
        </w:rPr>
      </w:pPr>
      <w:r w:rsidRPr="00293290">
        <w:rPr>
          <w:color w:val="000000" w:themeColor="text1"/>
          <w:sz w:val="22"/>
        </w:rPr>
        <w:t>JRA</w:t>
      </w:r>
      <w:r w:rsidRPr="00293290">
        <w:rPr>
          <w:color w:val="000000" w:themeColor="text1"/>
          <w:sz w:val="22"/>
        </w:rPr>
        <w:tab/>
      </w:r>
      <w:r w:rsidRPr="00293290">
        <w:rPr>
          <w:color w:val="000000" w:themeColor="text1"/>
          <w:sz w:val="22"/>
        </w:rPr>
        <w:tab/>
        <w:t>Japanese Re-Analysis</w:t>
      </w:r>
    </w:p>
    <w:p w:rsidR="004035E2" w:rsidRPr="00293290" w:rsidRDefault="004035E2" w:rsidP="004035E2">
      <w:pPr>
        <w:spacing w:after="0"/>
        <w:rPr>
          <w:color w:val="000000" w:themeColor="text1"/>
          <w:sz w:val="22"/>
        </w:rPr>
      </w:pPr>
      <w:r w:rsidRPr="00293290">
        <w:rPr>
          <w:color w:val="000000" w:themeColor="text1"/>
          <w:sz w:val="22"/>
        </w:rPr>
        <w:t>JMA</w:t>
      </w:r>
      <w:r w:rsidRPr="00293290">
        <w:rPr>
          <w:color w:val="000000" w:themeColor="text1"/>
          <w:sz w:val="22"/>
        </w:rPr>
        <w:tab/>
      </w:r>
      <w:r w:rsidRPr="00293290">
        <w:rPr>
          <w:color w:val="000000" w:themeColor="text1"/>
          <w:sz w:val="22"/>
        </w:rPr>
        <w:tab/>
        <w:t>Japan Meteorological Agency</w:t>
      </w:r>
    </w:p>
    <w:p w:rsidR="003F5128" w:rsidRDefault="004035E2" w:rsidP="004035E2">
      <w:pPr>
        <w:spacing w:after="0"/>
        <w:rPr>
          <w:color w:val="000000" w:themeColor="text1"/>
          <w:sz w:val="22"/>
        </w:rPr>
      </w:pPr>
      <w:r w:rsidRPr="00293290">
        <w:rPr>
          <w:color w:val="000000" w:themeColor="text1"/>
          <w:sz w:val="22"/>
        </w:rPr>
        <w:t>MERRA</w:t>
      </w:r>
      <w:r w:rsidRPr="00293290">
        <w:rPr>
          <w:color w:val="000000" w:themeColor="text1"/>
          <w:sz w:val="22"/>
        </w:rPr>
        <w:tab/>
        <w:t>Modern Era Retrospective-analysis for Research and Applications</w:t>
      </w:r>
    </w:p>
    <w:p w:rsidR="007E605B" w:rsidRPr="00293290" w:rsidRDefault="003F5128" w:rsidP="004035E2">
      <w:pPr>
        <w:spacing w:after="0"/>
        <w:rPr>
          <w:color w:val="000000" w:themeColor="text1"/>
          <w:sz w:val="22"/>
        </w:rPr>
      </w:pPr>
      <w:r>
        <w:rPr>
          <w:color w:val="000000" w:themeColor="text1"/>
          <w:sz w:val="22"/>
        </w:rPr>
        <w:t>MJO</w:t>
      </w:r>
      <w:r>
        <w:rPr>
          <w:color w:val="000000" w:themeColor="text1"/>
          <w:sz w:val="22"/>
        </w:rPr>
        <w:tab/>
      </w:r>
      <w:r>
        <w:rPr>
          <w:color w:val="000000" w:themeColor="text1"/>
          <w:sz w:val="22"/>
        </w:rPr>
        <w:tab/>
        <w:t>Madden-Julian Oscillation</w:t>
      </w:r>
    </w:p>
    <w:p w:rsidR="00702D01" w:rsidRDefault="007E605B" w:rsidP="004035E2">
      <w:pPr>
        <w:spacing w:after="0"/>
        <w:rPr>
          <w:color w:val="000000" w:themeColor="text1"/>
          <w:sz w:val="22"/>
        </w:rPr>
      </w:pPr>
      <w:r w:rsidRPr="00293290">
        <w:rPr>
          <w:color w:val="000000" w:themeColor="text1"/>
          <w:sz w:val="22"/>
        </w:rPr>
        <w:t>MODIS</w:t>
      </w:r>
      <w:r w:rsidRPr="00293290">
        <w:rPr>
          <w:color w:val="000000" w:themeColor="text1"/>
          <w:sz w:val="22"/>
        </w:rPr>
        <w:tab/>
      </w:r>
      <w:r w:rsidR="00293290">
        <w:rPr>
          <w:color w:val="000000" w:themeColor="text1"/>
          <w:sz w:val="22"/>
        </w:rPr>
        <w:tab/>
      </w:r>
      <w:r w:rsidRPr="00293290">
        <w:rPr>
          <w:color w:val="000000" w:themeColor="text1"/>
          <w:sz w:val="22"/>
        </w:rPr>
        <w:t xml:space="preserve">Moderate Resolution Imaging </w:t>
      </w:r>
      <w:proofErr w:type="spellStart"/>
      <w:r w:rsidRPr="00293290">
        <w:rPr>
          <w:color w:val="000000" w:themeColor="text1"/>
          <w:sz w:val="22"/>
        </w:rPr>
        <w:t>Spectroradiometer</w:t>
      </w:r>
      <w:proofErr w:type="spellEnd"/>
    </w:p>
    <w:p w:rsidR="00293290" w:rsidRDefault="00702D01" w:rsidP="004035E2">
      <w:pPr>
        <w:spacing w:after="0"/>
        <w:rPr>
          <w:color w:val="000000" w:themeColor="text1"/>
          <w:sz w:val="22"/>
        </w:rPr>
      </w:pPr>
      <w:r w:rsidRPr="00702D01">
        <w:rPr>
          <w:sz w:val="22"/>
        </w:rPr>
        <w:t xml:space="preserve">MRG </w:t>
      </w:r>
      <w:r w:rsidRPr="00702D01">
        <w:rPr>
          <w:sz w:val="22"/>
        </w:rPr>
        <w:tab/>
      </w:r>
      <w:r w:rsidRPr="00702D01">
        <w:rPr>
          <w:sz w:val="22"/>
        </w:rPr>
        <w:tab/>
        <w:t xml:space="preserve">Mixed Rossby-gravity wave </w:t>
      </w:r>
    </w:p>
    <w:p w:rsidR="004035E2" w:rsidRPr="00293290" w:rsidRDefault="00293290" w:rsidP="00293290">
      <w:pPr>
        <w:widowControl w:val="0"/>
        <w:autoSpaceDE w:val="0"/>
        <w:autoSpaceDN w:val="0"/>
        <w:adjustRightInd w:val="0"/>
        <w:spacing w:after="0"/>
        <w:rPr>
          <w:sz w:val="22"/>
        </w:rPr>
      </w:pPr>
      <w:r w:rsidRPr="002F3655">
        <w:rPr>
          <w:sz w:val="22"/>
        </w:rPr>
        <w:t xml:space="preserve">MSU </w:t>
      </w:r>
      <w:r w:rsidRPr="002F3655">
        <w:rPr>
          <w:sz w:val="22"/>
        </w:rPr>
        <w:tab/>
      </w:r>
      <w:r w:rsidRPr="002F3655">
        <w:rPr>
          <w:sz w:val="22"/>
        </w:rPr>
        <w:tab/>
        <w:t>Microw</w:t>
      </w:r>
      <w:r>
        <w:rPr>
          <w:sz w:val="22"/>
        </w:rPr>
        <w:t>ave Sounding Unit (part of TOVS)</w:t>
      </w:r>
    </w:p>
    <w:p w:rsidR="004035E2" w:rsidRPr="00293290" w:rsidRDefault="004035E2" w:rsidP="004035E2">
      <w:pPr>
        <w:spacing w:after="0"/>
        <w:rPr>
          <w:color w:val="000000" w:themeColor="text1"/>
          <w:sz w:val="22"/>
        </w:rPr>
      </w:pPr>
      <w:r w:rsidRPr="00293290">
        <w:rPr>
          <w:color w:val="000000" w:themeColor="text1"/>
          <w:sz w:val="22"/>
        </w:rPr>
        <w:t>NASA</w:t>
      </w:r>
      <w:r w:rsidRPr="00293290">
        <w:rPr>
          <w:color w:val="000000" w:themeColor="text1"/>
          <w:sz w:val="22"/>
        </w:rPr>
        <w:tab/>
      </w:r>
      <w:r w:rsidRPr="00293290">
        <w:rPr>
          <w:color w:val="000000" w:themeColor="text1"/>
          <w:sz w:val="22"/>
        </w:rPr>
        <w:tab/>
        <w:t>National Aeronautics and Space Administration</w:t>
      </w:r>
    </w:p>
    <w:p w:rsidR="004035E2" w:rsidRPr="00293290" w:rsidRDefault="004035E2" w:rsidP="004035E2">
      <w:pPr>
        <w:spacing w:after="0"/>
        <w:rPr>
          <w:color w:val="000000" w:themeColor="text1"/>
          <w:sz w:val="22"/>
        </w:rPr>
      </w:pPr>
      <w:r w:rsidRPr="00293290">
        <w:rPr>
          <w:color w:val="000000" w:themeColor="text1"/>
          <w:sz w:val="22"/>
        </w:rPr>
        <w:t>NCAR</w:t>
      </w:r>
      <w:r w:rsidRPr="00293290">
        <w:rPr>
          <w:color w:val="000000" w:themeColor="text1"/>
          <w:sz w:val="22"/>
        </w:rPr>
        <w:tab/>
      </w:r>
      <w:r w:rsidRPr="00293290">
        <w:rPr>
          <w:color w:val="000000" w:themeColor="text1"/>
          <w:sz w:val="22"/>
        </w:rPr>
        <w:tab/>
        <w:t>National Centers for Atmospheric Research</w:t>
      </w:r>
    </w:p>
    <w:p w:rsidR="00225EB4" w:rsidRDefault="004035E2" w:rsidP="004035E2">
      <w:pPr>
        <w:spacing w:after="0"/>
        <w:rPr>
          <w:color w:val="000000" w:themeColor="text1"/>
          <w:sz w:val="22"/>
        </w:rPr>
      </w:pPr>
      <w:r w:rsidRPr="00293290">
        <w:rPr>
          <w:color w:val="000000" w:themeColor="text1"/>
          <w:sz w:val="22"/>
        </w:rPr>
        <w:t>NCEP</w:t>
      </w:r>
      <w:r w:rsidRPr="00293290">
        <w:rPr>
          <w:color w:val="000000" w:themeColor="text1"/>
          <w:sz w:val="22"/>
        </w:rPr>
        <w:tab/>
      </w:r>
      <w:r w:rsidRPr="00293290">
        <w:rPr>
          <w:color w:val="000000" w:themeColor="text1"/>
          <w:sz w:val="22"/>
        </w:rPr>
        <w:tab/>
        <w:t>National Centers for Environmental Prediction</w:t>
      </w:r>
    </w:p>
    <w:p w:rsidR="004035E2" w:rsidRPr="00225EB4" w:rsidRDefault="00225EB4" w:rsidP="004035E2">
      <w:pPr>
        <w:spacing w:after="0"/>
        <w:rPr>
          <w:sz w:val="22"/>
        </w:rPr>
      </w:pPr>
      <w:r>
        <w:rPr>
          <w:sz w:val="22"/>
        </w:rPr>
        <w:t>NESDIS</w:t>
      </w:r>
      <w:r>
        <w:rPr>
          <w:sz w:val="22"/>
        </w:rPr>
        <w:tab/>
      </w:r>
      <w:r w:rsidRPr="00225EB4">
        <w:rPr>
          <w:sz w:val="22"/>
        </w:rPr>
        <w:t xml:space="preserve">National Environmental Satellite, Data, </w:t>
      </w:r>
      <w:r>
        <w:rPr>
          <w:sz w:val="22"/>
        </w:rPr>
        <w:t>and Information Service</w:t>
      </w:r>
    </w:p>
    <w:p w:rsidR="00293290" w:rsidRDefault="004035E2" w:rsidP="004035E2">
      <w:pPr>
        <w:spacing w:after="0"/>
        <w:rPr>
          <w:color w:val="000000" w:themeColor="text1"/>
          <w:sz w:val="22"/>
        </w:rPr>
      </w:pPr>
      <w:r w:rsidRPr="00293290">
        <w:rPr>
          <w:color w:val="000000" w:themeColor="text1"/>
          <w:sz w:val="22"/>
        </w:rPr>
        <w:t>NOAA</w:t>
      </w:r>
      <w:r w:rsidRPr="00293290">
        <w:rPr>
          <w:color w:val="000000" w:themeColor="text1"/>
          <w:sz w:val="22"/>
        </w:rPr>
        <w:tab/>
      </w:r>
      <w:r w:rsidRPr="00293290">
        <w:rPr>
          <w:color w:val="000000" w:themeColor="text1"/>
          <w:sz w:val="22"/>
        </w:rPr>
        <w:tab/>
        <w:t>National Oceanic and Atmospheric Administration</w:t>
      </w:r>
    </w:p>
    <w:p w:rsidR="003F5128" w:rsidRDefault="00293290" w:rsidP="00293290">
      <w:pPr>
        <w:widowControl w:val="0"/>
        <w:autoSpaceDE w:val="0"/>
        <w:autoSpaceDN w:val="0"/>
        <w:adjustRightInd w:val="0"/>
        <w:spacing w:after="0"/>
        <w:rPr>
          <w:sz w:val="22"/>
        </w:rPr>
      </w:pPr>
      <w:r w:rsidRPr="002F3655">
        <w:rPr>
          <w:sz w:val="22"/>
        </w:rPr>
        <w:t xml:space="preserve">NWP </w:t>
      </w:r>
      <w:r w:rsidRPr="002F3655">
        <w:rPr>
          <w:sz w:val="22"/>
        </w:rPr>
        <w:tab/>
      </w:r>
      <w:r w:rsidRPr="002F3655">
        <w:rPr>
          <w:sz w:val="22"/>
        </w:rPr>
        <w:tab/>
        <w:t>Numerical Weather Prediction</w:t>
      </w:r>
    </w:p>
    <w:p w:rsidR="004035E2" w:rsidRPr="00293290" w:rsidRDefault="003F5128" w:rsidP="00293290">
      <w:pPr>
        <w:widowControl w:val="0"/>
        <w:autoSpaceDE w:val="0"/>
        <w:autoSpaceDN w:val="0"/>
        <w:adjustRightInd w:val="0"/>
        <w:spacing w:after="0"/>
        <w:rPr>
          <w:sz w:val="22"/>
        </w:rPr>
      </w:pPr>
      <w:r>
        <w:rPr>
          <w:sz w:val="22"/>
        </w:rPr>
        <w:t>QBO</w:t>
      </w:r>
      <w:r>
        <w:rPr>
          <w:sz w:val="22"/>
        </w:rPr>
        <w:tab/>
      </w:r>
      <w:r>
        <w:rPr>
          <w:sz w:val="22"/>
        </w:rPr>
        <w:tab/>
        <w:t>Quasi-Biennial Oscillation</w:t>
      </w:r>
    </w:p>
    <w:p w:rsidR="00293290" w:rsidRPr="00293290" w:rsidRDefault="004035E2" w:rsidP="004035E2">
      <w:pPr>
        <w:spacing w:after="0"/>
        <w:rPr>
          <w:color w:val="000000" w:themeColor="text1"/>
          <w:sz w:val="22"/>
        </w:rPr>
      </w:pPr>
      <w:r w:rsidRPr="00293290">
        <w:rPr>
          <w:color w:val="000000" w:themeColor="text1"/>
          <w:sz w:val="22"/>
        </w:rPr>
        <w:t>QC</w:t>
      </w:r>
      <w:r w:rsidRPr="00293290">
        <w:rPr>
          <w:color w:val="000000" w:themeColor="text1"/>
          <w:sz w:val="22"/>
        </w:rPr>
        <w:tab/>
      </w:r>
      <w:r w:rsidRPr="00293290">
        <w:rPr>
          <w:color w:val="000000" w:themeColor="text1"/>
          <w:sz w:val="22"/>
        </w:rPr>
        <w:tab/>
        <w:t>Quality Control</w:t>
      </w:r>
    </w:p>
    <w:p w:rsidR="00225EB4" w:rsidRDefault="00293290" w:rsidP="00293290">
      <w:pPr>
        <w:widowControl w:val="0"/>
        <w:autoSpaceDE w:val="0"/>
        <w:autoSpaceDN w:val="0"/>
        <w:adjustRightInd w:val="0"/>
        <w:spacing w:after="0"/>
        <w:rPr>
          <w:sz w:val="22"/>
        </w:rPr>
      </w:pPr>
      <w:r w:rsidRPr="00293290">
        <w:rPr>
          <w:color w:val="000000" w:themeColor="text1"/>
          <w:sz w:val="22"/>
        </w:rPr>
        <w:t>SBUV</w:t>
      </w:r>
      <w:r>
        <w:rPr>
          <w:color w:val="000000" w:themeColor="text1"/>
          <w:sz w:val="22"/>
        </w:rPr>
        <w:tab/>
      </w:r>
      <w:r>
        <w:rPr>
          <w:color w:val="000000" w:themeColor="text1"/>
          <w:sz w:val="22"/>
        </w:rPr>
        <w:tab/>
      </w:r>
      <w:r w:rsidRPr="002F3655">
        <w:rPr>
          <w:sz w:val="22"/>
        </w:rPr>
        <w:t>Solar Backscatter U</w:t>
      </w:r>
      <w:r>
        <w:rPr>
          <w:sz w:val="22"/>
        </w:rPr>
        <w:t>ltraviolet Spectral Radiometer</w:t>
      </w:r>
    </w:p>
    <w:p w:rsidR="004035E2" w:rsidRPr="00293290" w:rsidRDefault="00225EB4" w:rsidP="00293290">
      <w:pPr>
        <w:widowControl w:val="0"/>
        <w:autoSpaceDE w:val="0"/>
        <w:autoSpaceDN w:val="0"/>
        <w:adjustRightInd w:val="0"/>
        <w:spacing w:after="0"/>
        <w:rPr>
          <w:sz w:val="22"/>
        </w:rPr>
      </w:pPr>
      <w:r>
        <w:rPr>
          <w:rStyle w:val="Emphasis"/>
          <w:i w:val="0"/>
        </w:rPr>
        <w:t>SNO</w:t>
      </w:r>
      <w:r>
        <w:rPr>
          <w:rStyle w:val="Emphasis"/>
          <w:i w:val="0"/>
        </w:rPr>
        <w:tab/>
      </w:r>
      <w:r>
        <w:rPr>
          <w:rStyle w:val="Emphasis"/>
          <w:i w:val="0"/>
        </w:rPr>
        <w:tab/>
        <w:t>Simultaneous Nadir Overpass</w:t>
      </w:r>
    </w:p>
    <w:p w:rsidR="004035E2" w:rsidRPr="00293290" w:rsidRDefault="00293290" w:rsidP="004035E2">
      <w:pPr>
        <w:spacing w:after="0"/>
        <w:rPr>
          <w:color w:val="000000" w:themeColor="text1"/>
          <w:sz w:val="22"/>
        </w:rPr>
      </w:pPr>
      <w:r>
        <w:rPr>
          <w:color w:val="000000" w:themeColor="text1"/>
          <w:sz w:val="22"/>
        </w:rPr>
        <w:t>SSM/I</w:t>
      </w:r>
      <w:r>
        <w:rPr>
          <w:color w:val="000000" w:themeColor="text1"/>
          <w:sz w:val="22"/>
        </w:rPr>
        <w:tab/>
      </w:r>
      <w:r>
        <w:rPr>
          <w:color w:val="000000" w:themeColor="text1"/>
          <w:sz w:val="22"/>
        </w:rPr>
        <w:tab/>
        <w:t>Special Sensor</w:t>
      </w:r>
      <w:r w:rsidR="004035E2" w:rsidRPr="00293290">
        <w:rPr>
          <w:color w:val="000000" w:themeColor="text1"/>
          <w:sz w:val="22"/>
        </w:rPr>
        <w:t xml:space="preserve"> Microwave Imager</w:t>
      </w:r>
    </w:p>
    <w:p w:rsidR="00702D01" w:rsidRDefault="004035E2" w:rsidP="004035E2">
      <w:pPr>
        <w:spacing w:after="0"/>
        <w:rPr>
          <w:color w:val="000000" w:themeColor="text1"/>
          <w:sz w:val="22"/>
        </w:rPr>
      </w:pPr>
      <w:r w:rsidRPr="00293290">
        <w:rPr>
          <w:color w:val="000000" w:themeColor="text1"/>
          <w:sz w:val="22"/>
        </w:rPr>
        <w:t>SSU</w:t>
      </w:r>
      <w:r w:rsidRPr="00293290">
        <w:rPr>
          <w:color w:val="000000" w:themeColor="text1"/>
          <w:sz w:val="22"/>
        </w:rPr>
        <w:tab/>
      </w:r>
      <w:r w:rsidRPr="00293290">
        <w:rPr>
          <w:color w:val="000000" w:themeColor="text1"/>
          <w:sz w:val="22"/>
        </w:rPr>
        <w:tab/>
        <w:t>Stratospheric Sounding Unit</w:t>
      </w:r>
    </w:p>
    <w:p w:rsidR="004035E2" w:rsidRPr="00293290" w:rsidRDefault="00702D01" w:rsidP="004035E2">
      <w:pPr>
        <w:spacing w:after="0"/>
        <w:rPr>
          <w:color w:val="000000" w:themeColor="text1"/>
          <w:sz w:val="22"/>
        </w:rPr>
      </w:pPr>
      <w:r>
        <w:rPr>
          <w:color w:val="000000" w:themeColor="text1"/>
          <w:sz w:val="22"/>
        </w:rPr>
        <w:t>TRMM</w:t>
      </w:r>
      <w:r>
        <w:rPr>
          <w:color w:val="000000" w:themeColor="text1"/>
          <w:sz w:val="22"/>
        </w:rPr>
        <w:tab/>
      </w:r>
      <w:r>
        <w:rPr>
          <w:color w:val="000000" w:themeColor="text1"/>
          <w:sz w:val="22"/>
        </w:rPr>
        <w:tab/>
      </w:r>
      <w:r w:rsidR="00225EB4">
        <w:rPr>
          <w:color w:val="000000" w:themeColor="text1"/>
          <w:sz w:val="22"/>
        </w:rPr>
        <w:t>Tropical Rainfall Measuring</w:t>
      </w:r>
      <w:r>
        <w:rPr>
          <w:color w:val="000000" w:themeColor="text1"/>
          <w:sz w:val="22"/>
        </w:rPr>
        <w:t xml:space="preserve"> Mission</w:t>
      </w:r>
    </w:p>
    <w:p w:rsidR="004035E2" w:rsidRPr="00293290" w:rsidRDefault="004035E2" w:rsidP="004035E2">
      <w:pPr>
        <w:spacing w:after="0"/>
        <w:rPr>
          <w:color w:val="000000" w:themeColor="text1"/>
          <w:sz w:val="22"/>
        </w:rPr>
      </w:pPr>
      <w:r w:rsidRPr="00293290">
        <w:rPr>
          <w:color w:val="000000" w:themeColor="text1"/>
          <w:sz w:val="22"/>
        </w:rPr>
        <w:t>VARBC</w:t>
      </w:r>
      <w:r w:rsidRPr="00293290">
        <w:rPr>
          <w:color w:val="000000" w:themeColor="text1"/>
          <w:sz w:val="22"/>
        </w:rPr>
        <w:tab/>
        <w:t>Variational Bias Correction</w:t>
      </w:r>
    </w:p>
    <w:p w:rsidR="00293290" w:rsidRPr="00293290" w:rsidRDefault="00293290" w:rsidP="004035E2">
      <w:pPr>
        <w:spacing w:after="0"/>
        <w:rPr>
          <w:sz w:val="22"/>
        </w:rPr>
      </w:pPr>
      <w:r w:rsidRPr="00293290">
        <w:rPr>
          <w:sz w:val="22"/>
        </w:rPr>
        <w:t xml:space="preserve">WCRP </w:t>
      </w:r>
      <w:r w:rsidRPr="00293290">
        <w:rPr>
          <w:sz w:val="22"/>
        </w:rPr>
        <w:tab/>
      </w:r>
      <w:r w:rsidR="00702D01">
        <w:rPr>
          <w:sz w:val="22"/>
        </w:rPr>
        <w:tab/>
      </w:r>
      <w:r w:rsidRPr="00293290">
        <w:rPr>
          <w:sz w:val="22"/>
        </w:rPr>
        <w:t>World Climate Research Program</w:t>
      </w:r>
    </w:p>
    <w:p w:rsidR="00225EB4" w:rsidRDefault="00293290" w:rsidP="00293290">
      <w:pPr>
        <w:spacing w:after="0"/>
        <w:rPr>
          <w:sz w:val="22"/>
        </w:rPr>
      </w:pPr>
      <w:r w:rsidRPr="00293290">
        <w:rPr>
          <w:sz w:val="22"/>
        </w:rPr>
        <w:t>WOAP</w:t>
      </w:r>
      <w:r w:rsidRPr="00293290">
        <w:rPr>
          <w:sz w:val="22"/>
        </w:rPr>
        <w:tab/>
      </w:r>
      <w:r w:rsidRPr="00293290">
        <w:rPr>
          <w:sz w:val="22"/>
        </w:rPr>
        <w:tab/>
        <w:t xml:space="preserve">WCRP Observations and Analyses Panel </w:t>
      </w:r>
    </w:p>
    <w:p w:rsidR="00DC1251" w:rsidRPr="0066139B" w:rsidRDefault="00DC1251" w:rsidP="0066139B"/>
    <w:sectPr w:rsidR="00DC1251" w:rsidRPr="0066139B" w:rsidSect="00C72500">
      <w:headerReference w:type="default" r:id="rId47"/>
      <w:footerReference w:type="even" r:id="rId48"/>
      <w:footerReference w:type="default" r:id="rId49"/>
      <w:pgSz w:w="12240" w:h="15840"/>
      <w:pgMar w:top="1440" w:right="1440" w:bottom="1440" w:left="1440" w:gutter="0"/>
      <w:docGrid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Helvetica">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1FDF" w:rsidRDefault="00E04924" w:rsidP="00413F92">
    <w:pPr>
      <w:pStyle w:val="Footer"/>
      <w:framePr w:wrap="around" w:vAnchor="text" w:hAnchor="margin" w:xAlign="center" w:y="1"/>
      <w:rPr>
        <w:rStyle w:val="PageNumber"/>
      </w:rPr>
    </w:pPr>
    <w:r>
      <w:rPr>
        <w:rStyle w:val="PageNumber"/>
      </w:rPr>
      <w:fldChar w:fldCharType="begin"/>
    </w:r>
    <w:r w:rsidR="00B41FDF">
      <w:rPr>
        <w:rStyle w:val="PageNumber"/>
      </w:rPr>
      <w:instrText xml:space="preserve">PAGE  </w:instrText>
    </w:r>
    <w:r>
      <w:rPr>
        <w:rStyle w:val="PageNumber"/>
      </w:rPr>
      <w:fldChar w:fldCharType="end"/>
    </w:r>
  </w:p>
  <w:p w:rsidR="00B41FDF" w:rsidRDefault="00B41FDF">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1FDF" w:rsidRDefault="00E04924" w:rsidP="00413F92">
    <w:pPr>
      <w:pStyle w:val="Footer"/>
      <w:framePr w:wrap="around" w:vAnchor="text" w:hAnchor="margin" w:xAlign="center" w:y="1"/>
      <w:rPr>
        <w:rStyle w:val="PageNumber"/>
      </w:rPr>
    </w:pPr>
    <w:r>
      <w:rPr>
        <w:rStyle w:val="PageNumber"/>
      </w:rPr>
      <w:fldChar w:fldCharType="begin"/>
    </w:r>
    <w:r w:rsidR="00B41FDF">
      <w:rPr>
        <w:rStyle w:val="PageNumber"/>
      </w:rPr>
      <w:instrText xml:space="preserve">PAGE  </w:instrText>
    </w:r>
    <w:r>
      <w:rPr>
        <w:rStyle w:val="PageNumber"/>
      </w:rPr>
      <w:fldChar w:fldCharType="separate"/>
    </w:r>
    <w:r w:rsidR="00915AAA">
      <w:rPr>
        <w:rStyle w:val="PageNumber"/>
        <w:noProof/>
      </w:rPr>
      <w:t>32</w:t>
    </w:r>
    <w:r>
      <w:rPr>
        <w:rStyle w:val="PageNumber"/>
      </w:rPr>
      <w:fldChar w:fldCharType="end"/>
    </w:r>
  </w:p>
  <w:p w:rsidR="00B41FDF" w:rsidRDefault="00B41FDF">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B41FDF" w:rsidRPr="000B1FFB" w:rsidRDefault="00B41FDF" w:rsidP="00436047">
      <w:pPr>
        <w:pStyle w:val="FootnoteText"/>
        <w:rPr>
          <w:color w:val="000000" w:themeColor="text1"/>
        </w:rPr>
      </w:pPr>
      <w:r w:rsidRPr="000B1FFB">
        <w:rPr>
          <w:rStyle w:val="FootnoteReference"/>
          <w:color w:val="000000" w:themeColor="text1"/>
        </w:rPr>
        <w:footnoteRef/>
      </w:r>
      <w:r w:rsidRPr="000B1FFB">
        <w:rPr>
          <w:color w:val="000000" w:themeColor="text1"/>
        </w:rPr>
        <w:t xml:space="preserve"> </w:t>
      </w:r>
      <w:r>
        <w:rPr>
          <w:color w:val="000000" w:themeColor="text1"/>
        </w:rPr>
        <w:t>A</w:t>
      </w:r>
      <w:r w:rsidRPr="000B1FFB">
        <w:rPr>
          <w:color w:val="000000" w:themeColor="text1"/>
        </w:rPr>
        <w:t xml:space="preserve"> caveat is that the </w:t>
      </w:r>
      <w:r>
        <w:rPr>
          <w:color w:val="000000" w:themeColor="text1"/>
        </w:rPr>
        <w:t xml:space="preserve">observations </w:t>
      </w:r>
      <w:r w:rsidRPr="000B1FFB">
        <w:rPr>
          <w:color w:val="000000" w:themeColor="text1"/>
        </w:rPr>
        <w:t xml:space="preserve">used </w:t>
      </w:r>
      <w:r>
        <w:rPr>
          <w:color w:val="000000" w:themeColor="text1"/>
        </w:rPr>
        <w:t>for</w:t>
      </w:r>
      <w:r w:rsidRPr="000B1FFB">
        <w:rPr>
          <w:color w:val="000000" w:themeColor="text1"/>
        </w:rPr>
        <w:t xml:space="preserve"> reanalysis </w:t>
      </w:r>
      <w:r>
        <w:rPr>
          <w:color w:val="000000" w:themeColor="text1"/>
        </w:rPr>
        <w:t xml:space="preserve">are often </w:t>
      </w:r>
      <w:r w:rsidRPr="000B1FFB">
        <w:rPr>
          <w:color w:val="000000" w:themeColor="text1"/>
        </w:rPr>
        <w:t>“cleaned-up”</w:t>
      </w:r>
      <w:r>
        <w:rPr>
          <w:color w:val="000000" w:themeColor="text1"/>
        </w:rPr>
        <w:t xml:space="preserve"> </w:t>
      </w:r>
      <w:r w:rsidRPr="000B1FFB">
        <w:rPr>
          <w:color w:val="000000" w:themeColor="text1"/>
        </w:rPr>
        <w:t>version</w:t>
      </w:r>
      <w:r>
        <w:rPr>
          <w:color w:val="000000" w:themeColor="text1"/>
        </w:rPr>
        <w:t>s</w:t>
      </w:r>
      <w:r w:rsidRPr="000B1FFB">
        <w:rPr>
          <w:color w:val="000000" w:themeColor="text1"/>
        </w:rPr>
        <w:t xml:space="preserve"> of the real-time stream</w:t>
      </w:r>
      <w:r>
        <w:rPr>
          <w:color w:val="000000" w:themeColor="text1"/>
        </w:rPr>
        <w:t>s</w:t>
      </w:r>
      <w:r w:rsidRPr="000B1FFB">
        <w:rPr>
          <w:color w:val="000000" w:themeColor="text1"/>
        </w:rPr>
        <w:t xml:space="preserve"> and </w:t>
      </w:r>
      <w:r>
        <w:rPr>
          <w:color w:val="000000" w:themeColor="text1"/>
        </w:rPr>
        <w:t xml:space="preserve">may </w:t>
      </w:r>
      <w:r w:rsidRPr="000B1FFB">
        <w:rPr>
          <w:color w:val="000000" w:themeColor="text1"/>
        </w:rPr>
        <w:t>include</w:t>
      </w:r>
      <w:r>
        <w:rPr>
          <w:color w:val="000000" w:themeColor="text1"/>
        </w:rPr>
        <w:t xml:space="preserve"> </w:t>
      </w:r>
      <w:r w:rsidRPr="000B1FFB">
        <w:rPr>
          <w:color w:val="000000" w:themeColor="text1"/>
        </w:rPr>
        <w:t>some additional data.</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1FDF" w:rsidRDefault="00B41FDF" w:rsidP="00EF5124">
    <w:pPr>
      <w:pStyle w:val="Header"/>
      <w:jc w:val="center"/>
    </w:pPr>
    <w:r>
      <w:t>Draft – 7 October, 2010</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83249"/>
    <w:multiLevelType w:val="hybridMultilevel"/>
    <w:tmpl w:val="C1C64058"/>
    <w:lvl w:ilvl="0" w:tplc="563210DE">
      <w:start w:val="1"/>
      <w:numFmt w:val="bullet"/>
      <w:lvlText w:val=""/>
      <w:lvlJc w:val="left"/>
      <w:pPr>
        <w:tabs>
          <w:tab w:val="num" w:pos="1440"/>
        </w:tabs>
        <w:ind w:left="1440" w:hanging="72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94C4773"/>
    <w:multiLevelType w:val="multilevel"/>
    <w:tmpl w:val="B0DC6F3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1A945E1E"/>
    <w:multiLevelType w:val="multilevel"/>
    <w:tmpl w:val="A54CE3AE"/>
    <w:lvl w:ilvl="0">
      <w:start w:val="1"/>
      <w:numFmt w:val="decimal"/>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3">
    <w:nsid w:val="1C814791"/>
    <w:multiLevelType w:val="multilevel"/>
    <w:tmpl w:val="B8FC49A6"/>
    <w:lvl w:ilvl="0">
      <w:start w:val="1"/>
      <w:numFmt w:val="decimal"/>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4">
    <w:nsid w:val="21311196"/>
    <w:multiLevelType w:val="hybridMultilevel"/>
    <w:tmpl w:val="5E6248D0"/>
    <w:lvl w:ilvl="0" w:tplc="695EABE0">
      <w:start w:val="2"/>
      <w:numFmt w:val="bullet"/>
      <w:lvlText w:val="-"/>
      <w:lvlJc w:val="left"/>
      <w:pPr>
        <w:ind w:left="720" w:hanging="360"/>
      </w:pPr>
      <w:rPr>
        <w:rFonts w:ascii="Times New Roman" w:eastAsiaTheme="minorHAnsi" w:hAnsi="Times New Roma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0617A2"/>
    <w:multiLevelType w:val="multilevel"/>
    <w:tmpl w:val="B8BC9F7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390B282D"/>
    <w:multiLevelType w:val="hybridMultilevel"/>
    <w:tmpl w:val="EA4C0738"/>
    <w:lvl w:ilvl="0" w:tplc="563210DE">
      <w:start w:val="1"/>
      <w:numFmt w:val="bullet"/>
      <w:lvlText w:val=""/>
      <w:lvlJc w:val="left"/>
      <w:pPr>
        <w:tabs>
          <w:tab w:val="num" w:pos="2340"/>
        </w:tabs>
        <w:ind w:left="2340" w:hanging="720"/>
      </w:pPr>
      <w:rPr>
        <w:rFonts w:ascii="Symbol" w:hAnsi="Symbol" w:hint="default"/>
      </w:rPr>
    </w:lvl>
    <w:lvl w:ilvl="1" w:tplc="04090003" w:tentative="1">
      <w:start w:val="1"/>
      <w:numFmt w:val="bullet"/>
      <w:lvlText w:val="o"/>
      <w:lvlJc w:val="left"/>
      <w:pPr>
        <w:ind w:left="3060" w:hanging="360"/>
      </w:pPr>
      <w:rPr>
        <w:rFonts w:ascii="Courier New" w:hAnsi="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7">
    <w:nsid w:val="3FF00D3B"/>
    <w:multiLevelType w:val="multilevel"/>
    <w:tmpl w:val="0B0C168A"/>
    <w:lvl w:ilvl="0">
      <w:start w:val="1"/>
      <w:numFmt w:val="decimal"/>
      <w:lvlText w:val="%1."/>
      <w:lvlJc w:val="left"/>
      <w:pPr>
        <w:ind w:left="360" w:hanging="360"/>
      </w:pPr>
    </w:lvl>
    <w:lvl w:ilvl="1">
      <w:start w:val="1"/>
      <w:numFmt w:val="decimal"/>
      <w:pStyle w:val="Heading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2F74ACA"/>
    <w:multiLevelType w:val="multilevel"/>
    <w:tmpl w:val="2F7880F0"/>
    <w:lvl w:ilvl="0">
      <w:start w:val="1"/>
      <w:numFmt w:val="decimal"/>
      <w:lvlText w:val="%1"/>
      <w:lvlJc w:val="left"/>
      <w:pPr>
        <w:ind w:left="432" w:hanging="432"/>
      </w:pPr>
      <w:rPr>
        <w:rFonts w:hint="default"/>
      </w:rPr>
    </w:lvl>
    <w:lvl w:ilvl="1">
      <w:start w:val="1"/>
      <w:numFmt w:val="decimal"/>
      <w:pStyle w:val="New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4F70AD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B862451"/>
    <w:multiLevelType w:val="hybridMultilevel"/>
    <w:tmpl w:val="F038447E"/>
    <w:lvl w:ilvl="0" w:tplc="563210DE">
      <w:start w:val="1"/>
      <w:numFmt w:val="bullet"/>
      <w:lvlText w:val=""/>
      <w:lvlJc w:val="left"/>
      <w:pPr>
        <w:tabs>
          <w:tab w:val="num" w:pos="1440"/>
        </w:tabs>
        <w:ind w:left="1440" w:hanging="72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EB667AE"/>
    <w:multiLevelType w:val="hybridMultilevel"/>
    <w:tmpl w:val="67188578"/>
    <w:lvl w:ilvl="0" w:tplc="73389F1C">
      <w:numFmt w:val="bullet"/>
      <w:lvlText w:val="-"/>
      <w:lvlJc w:val="left"/>
      <w:pPr>
        <w:ind w:left="720" w:hanging="360"/>
      </w:pPr>
      <w:rPr>
        <w:rFonts w:ascii="Times New Roman" w:eastAsiaTheme="minorHAnsi" w:hAnsi="Times New Roma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C3117C"/>
    <w:multiLevelType w:val="multilevel"/>
    <w:tmpl w:val="7CCAB67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531E71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6251A41"/>
    <w:multiLevelType w:val="multilevel"/>
    <w:tmpl w:val="84D2E14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nsid w:val="5A5A6A1A"/>
    <w:multiLevelType w:val="hybridMultilevel"/>
    <w:tmpl w:val="5D781D78"/>
    <w:lvl w:ilvl="0" w:tplc="563210DE">
      <w:start w:val="1"/>
      <w:numFmt w:val="bullet"/>
      <w:lvlText w:val=""/>
      <w:lvlJc w:val="left"/>
      <w:pPr>
        <w:tabs>
          <w:tab w:val="num" w:pos="1440"/>
        </w:tabs>
        <w:ind w:left="1440" w:hanging="72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6477BBE"/>
    <w:multiLevelType w:val="hybridMultilevel"/>
    <w:tmpl w:val="14AE9580"/>
    <w:lvl w:ilvl="0" w:tplc="563210DE">
      <w:start w:val="1"/>
      <w:numFmt w:val="bullet"/>
      <w:lvlText w:val=""/>
      <w:lvlJc w:val="left"/>
      <w:pPr>
        <w:tabs>
          <w:tab w:val="num" w:pos="720"/>
        </w:tabs>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FFE4105"/>
    <w:multiLevelType w:val="multilevel"/>
    <w:tmpl w:val="C1406EDC"/>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num w:numId="1">
    <w:abstractNumId w:val="13"/>
  </w:num>
  <w:num w:numId="2">
    <w:abstractNumId w:val="7"/>
  </w:num>
  <w:num w:numId="3">
    <w:abstractNumId w:val="11"/>
  </w:num>
  <w:num w:numId="4">
    <w:abstractNumId w:val="4"/>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7"/>
  </w:num>
  <w:num w:numId="10">
    <w:abstractNumId w:val="3"/>
  </w:num>
  <w:num w:numId="11">
    <w:abstractNumId w:val="2"/>
  </w:num>
  <w:num w:numId="12">
    <w:abstractNumId w:val="9"/>
  </w:num>
  <w:num w:numId="13">
    <w:abstractNumId w:val="5"/>
  </w:num>
  <w:num w:numId="14">
    <w:abstractNumId w:val="1"/>
  </w:num>
  <w:num w:numId="15">
    <w:abstractNumId w:val="12"/>
  </w:num>
  <w:num w:numId="16">
    <w:abstractNumId w:val="14"/>
  </w:num>
  <w:num w:numId="17">
    <w:abstractNumId w:val="16"/>
  </w:num>
  <w:num w:numId="18">
    <w:abstractNumId w:val="10"/>
  </w:num>
  <w:num w:numId="19">
    <w:abstractNumId w:val="15"/>
  </w:num>
  <w:num w:numId="20">
    <w:abstractNumId w:val="0"/>
  </w:num>
  <w:num w:numId="2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activeWritingStyle w:appName="MSWord" w:lang="en-US" w:vendorID="64" w:dllVersion="131078" w:nlCheck="1" w:checkStyle="1"/>
  <w:proofState w:spelling="clean" w:grammar="clean"/>
  <w:doNotTrackMoves/>
  <w:defaultTabStop w:val="720"/>
  <w:characterSpacingControl w:val="doNotCompress"/>
  <w:hdrShapeDefaults>
    <o:shapedefaults v:ext="edit" spidmax="2050">
      <o:colormenu v:ext="edit" fillcolor="none [3212]" strokecolor="none"/>
    </o:shapedefaults>
  </w:hdrShapeDefaults>
  <w:compat/>
  <w:rsids>
    <w:rsidRoot w:val="000D02FD"/>
    <w:rsid w:val="00003FE5"/>
    <w:rsid w:val="00005CB5"/>
    <w:rsid w:val="000162E7"/>
    <w:rsid w:val="000213E8"/>
    <w:rsid w:val="00033337"/>
    <w:rsid w:val="00036D2A"/>
    <w:rsid w:val="00042548"/>
    <w:rsid w:val="000428FB"/>
    <w:rsid w:val="000524C3"/>
    <w:rsid w:val="00066FC7"/>
    <w:rsid w:val="00073E0A"/>
    <w:rsid w:val="00081392"/>
    <w:rsid w:val="00082602"/>
    <w:rsid w:val="0008405F"/>
    <w:rsid w:val="000854EE"/>
    <w:rsid w:val="00085E61"/>
    <w:rsid w:val="00090BD8"/>
    <w:rsid w:val="000A0AC4"/>
    <w:rsid w:val="000A0F09"/>
    <w:rsid w:val="000A389B"/>
    <w:rsid w:val="000A46AA"/>
    <w:rsid w:val="000A553E"/>
    <w:rsid w:val="000B1FFB"/>
    <w:rsid w:val="000B7C0F"/>
    <w:rsid w:val="000C2E8B"/>
    <w:rsid w:val="000C407A"/>
    <w:rsid w:val="000C57DB"/>
    <w:rsid w:val="000D02FD"/>
    <w:rsid w:val="000E608B"/>
    <w:rsid w:val="000E7672"/>
    <w:rsid w:val="000F418D"/>
    <w:rsid w:val="000F6FF4"/>
    <w:rsid w:val="00100B6F"/>
    <w:rsid w:val="0010261B"/>
    <w:rsid w:val="00102A60"/>
    <w:rsid w:val="001057E9"/>
    <w:rsid w:val="00105837"/>
    <w:rsid w:val="00106248"/>
    <w:rsid w:val="00106776"/>
    <w:rsid w:val="001125AC"/>
    <w:rsid w:val="0011588C"/>
    <w:rsid w:val="00121638"/>
    <w:rsid w:val="00121BC2"/>
    <w:rsid w:val="00122030"/>
    <w:rsid w:val="00122516"/>
    <w:rsid w:val="0012557A"/>
    <w:rsid w:val="001256CE"/>
    <w:rsid w:val="00126225"/>
    <w:rsid w:val="00132780"/>
    <w:rsid w:val="001345C4"/>
    <w:rsid w:val="001455FB"/>
    <w:rsid w:val="00160290"/>
    <w:rsid w:val="00160DE5"/>
    <w:rsid w:val="00164FA0"/>
    <w:rsid w:val="0017443C"/>
    <w:rsid w:val="00176249"/>
    <w:rsid w:val="00184139"/>
    <w:rsid w:val="001855FB"/>
    <w:rsid w:val="00191101"/>
    <w:rsid w:val="0019496D"/>
    <w:rsid w:val="001A0A3B"/>
    <w:rsid w:val="001B702E"/>
    <w:rsid w:val="001C1761"/>
    <w:rsid w:val="001C5052"/>
    <w:rsid w:val="001D1922"/>
    <w:rsid w:val="001E03C9"/>
    <w:rsid w:val="001E2ABD"/>
    <w:rsid w:val="001F17D3"/>
    <w:rsid w:val="001F3F29"/>
    <w:rsid w:val="00202CC8"/>
    <w:rsid w:val="002030C4"/>
    <w:rsid w:val="002056DE"/>
    <w:rsid w:val="00205C88"/>
    <w:rsid w:val="00210E1C"/>
    <w:rsid w:val="00214147"/>
    <w:rsid w:val="0022040F"/>
    <w:rsid w:val="0022150C"/>
    <w:rsid w:val="00225EB4"/>
    <w:rsid w:val="00234CCD"/>
    <w:rsid w:val="00235745"/>
    <w:rsid w:val="002373E7"/>
    <w:rsid w:val="002402F1"/>
    <w:rsid w:val="00240E1F"/>
    <w:rsid w:val="00250E5C"/>
    <w:rsid w:val="00252B09"/>
    <w:rsid w:val="00257A65"/>
    <w:rsid w:val="002718E0"/>
    <w:rsid w:val="00271CEF"/>
    <w:rsid w:val="00272EEC"/>
    <w:rsid w:val="002863C9"/>
    <w:rsid w:val="00292BD0"/>
    <w:rsid w:val="00293290"/>
    <w:rsid w:val="00294A76"/>
    <w:rsid w:val="002A4F68"/>
    <w:rsid w:val="002A7BC9"/>
    <w:rsid w:val="002B6B42"/>
    <w:rsid w:val="002C1075"/>
    <w:rsid w:val="002C1DCD"/>
    <w:rsid w:val="002C20C1"/>
    <w:rsid w:val="002C66F9"/>
    <w:rsid w:val="002F2FEB"/>
    <w:rsid w:val="002F3F5A"/>
    <w:rsid w:val="002F5BB2"/>
    <w:rsid w:val="0030242A"/>
    <w:rsid w:val="00303532"/>
    <w:rsid w:val="003055F7"/>
    <w:rsid w:val="00312ADF"/>
    <w:rsid w:val="00313451"/>
    <w:rsid w:val="003222E1"/>
    <w:rsid w:val="00324F08"/>
    <w:rsid w:val="00336BDC"/>
    <w:rsid w:val="00337DE6"/>
    <w:rsid w:val="003423C0"/>
    <w:rsid w:val="00342F6A"/>
    <w:rsid w:val="003454CA"/>
    <w:rsid w:val="003568F9"/>
    <w:rsid w:val="0036267D"/>
    <w:rsid w:val="0036455A"/>
    <w:rsid w:val="00365759"/>
    <w:rsid w:val="0037136B"/>
    <w:rsid w:val="00373FC4"/>
    <w:rsid w:val="00374099"/>
    <w:rsid w:val="0037730E"/>
    <w:rsid w:val="00380532"/>
    <w:rsid w:val="00385D18"/>
    <w:rsid w:val="00386884"/>
    <w:rsid w:val="00386AC8"/>
    <w:rsid w:val="003930F5"/>
    <w:rsid w:val="003A06E8"/>
    <w:rsid w:val="003A0CF8"/>
    <w:rsid w:val="003A1175"/>
    <w:rsid w:val="003A691C"/>
    <w:rsid w:val="003B7DFB"/>
    <w:rsid w:val="003C5057"/>
    <w:rsid w:val="003C76DB"/>
    <w:rsid w:val="003C7986"/>
    <w:rsid w:val="003F2F16"/>
    <w:rsid w:val="003F48F0"/>
    <w:rsid w:val="003F4970"/>
    <w:rsid w:val="003F4BF5"/>
    <w:rsid w:val="003F5128"/>
    <w:rsid w:val="00400F1A"/>
    <w:rsid w:val="004035E2"/>
    <w:rsid w:val="0041229A"/>
    <w:rsid w:val="00412A80"/>
    <w:rsid w:val="00413F92"/>
    <w:rsid w:val="00415E4E"/>
    <w:rsid w:val="00415EA4"/>
    <w:rsid w:val="00423B9C"/>
    <w:rsid w:val="00426FB7"/>
    <w:rsid w:val="00430890"/>
    <w:rsid w:val="00435DE6"/>
    <w:rsid w:val="00436047"/>
    <w:rsid w:val="004451B4"/>
    <w:rsid w:val="004503CE"/>
    <w:rsid w:val="00452F3F"/>
    <w:rsid w:val="00457BA6"/>
    <w:rsid w:val="004657B0"/>
    <w:rsid w:val="004679D6"/>
    <w:rsid w:val="00480381"/>
    <w:rsid w:val="00482893"/>
    <w:rsid w:val="00483570"/>
    <w:rsid w:val="004904E0"/>
    <w:rsid w:val="00494090"/>
    <w:rsid w:val="004B0996"/>
    <w:rsid w:val="004B12ED"/>
    <w:rsid w:val="004B27DF"/>
    <w:rsid w:val="004B2A35"/>
    <w:rsid w:val="004B3B9C"/>
    <w:rsid w:val="004B7DA5"/>
    <w:rsid w:val="004D1F36"/>
    <w:rsid w:val="004D796D"/>
    <w:rsid w:val="004F4BDF"/>
    <w:rsid w:val="004F738A"/>
    <w:rsid w:val="004F7D82"/>
    <w:rsid w:val="00511155"/>
    <w:rsid w:val="0051330E"/>
    <w:rsid w:val="005138F4"/>
    <w:rsid w:val="00513A57"/>
    <w:rsid w:val="00514F29"/>
    <w:rsid w:val="0051713B"/>
    <w:rsid w:val="00523AEE"/>
    <w:rsid w:val="00526248"/>
    <w:rsid w:val="0052766E"/>
    <w:rsid w:val="005340C7"/>
    <w:rsid w:val="00534D70"/>
    <w:rsid w:val="00547701"/>
    <w:rsid w:val="00555065"/>
    <w:rsid w:val="005561F9"/>
    <w:rsid w:val="00556952"/>
    <w:rsid w:val="00562016"/>
    <w:rsid w:val="00562221"/>
    <w:rsid w:val="00563595"/>
    <w:rsid w:val="00564571"/>
    <w:rsid w:val="005659E6"/>
    <w:rsid w:val="00565C4C"/>
    <w:rsid w:val="00574692"/>
    <w:rsid w:val="00575BD2"/>
    <w:rsid w:val="00585888"/>
    <w:rsid w:val="00586B42"/>
    <w:rsid w:val="00586CDB"/>
    <w:rsid w:val="00594CAF"/>
    <w:rsid w:val="0059540E"/>
    <w:rsid w:val="005963D5"/>
    <w:rsid w:val="005A5082"/>
    <w:rsid w:val="005B0AC9"/>
    <w:rsid w:val="005B579B"/>
    <w:rsid w:val="005B745A"/>
    <w:rsid w:val="005C478E"/>
    <w:rsid w:val="005D13DE"/>
    <w:rsid w:val="005D2DC7"/>
    <w:rsid w:val="005D4405"/>
    <w:rsid w:val="005D7CC7"/>
    <w:rsid w:val="005D7DC7"/>
    <w:rsid w:val="005E0256"/>
    <w:rsid w:val="005E22FB"/>
    <w:rsid w:val="005F0DE7"/>
    <w:rsid w:val="005F1B30"/>
    <w:rsid w:val="005F26D6"/>
    <w:rsid w:val="005F52C0"/>
    <w:rsid w:val="006024E9"/>
    <w:rsid w:val="006036D5"/>
    <w:rsid w:val="00607BBF"/>
    <w:rsid w:val="006124FE"/>
    <w:rsid w:val="00613672"/>
    <w:rsid w:val="00615EC8"/>
    <w:rsid w:val="0061693A"/>
    <w:rsid w:val="00625EF4"/>
    <w:rsid w:val="00635981"/>
    <w:rsid w:val="00635B58"/>
    <w:rsid w:val="00644027"/>
    <w:rsid w:val="00651226"/>
    <w:rsid w:val="006535FB"/>
    <w:rsid w:val="00654130"/>
    <w:rsid w:val="00660B26"/>
    <w:rsid w:val="0066139B"/>
    <w:rsid w:val="00663331"/>
    <w:rsid w:val="00667000"/>
    <w:rsid w:val="00667C9D"/>
    <w:rsid w:val="0067337C"/>
    <w:rsid w:val="00675481"/>
    <w:rsid w:val="00676448"/>
    <w:rsid w:val="00686594"/>
    <w:rsid w:val="006A0086"/>
    <w:rsid w:val="006A578C"/>
    <w:rsid w:val="006B1F27"/>
    <w:rsid w:val="006B364D"/>
    <w:rsid w:val="006B5374"/>
    <w:rsid w:val="006C224D"/>
    <w:rsid w:val="006C4B33"/>
    <w:rsid w:val="006D096C"/>
    <w:rsid w:val="006D1F6A"/>
    <w:rsid w:val="006D7EBD"/>
    <w:rsid w:val="006E1120"/>
    <w:rsid w:val="006E4B0C"/>
    <w:rsid w:val="0070241F"/>
    <w:rsid w:val="00702D01"/>
    <w:rsid w:val="00704476"/>
    <w:rsid w:val="00704D56"/>
    <w:rsid w:val="007119B4"/>
    <w:rsid w:val="0071339F"/>
    <w:rsid w:val="00714BBE"/>
    <w:rsid w:val="00717FE8"/>
    <w:rsid w:val="007252D2"/>
    <w:rsid w:val="00731660"/>
    <w:rsid w:val="0073475C"/>
    <w:rsid w:val="00734D02"/>
    <w:rsid w:val="007462E4"/>
    <w:rsid w:val="00747A80"/>
    <w:rsid w:val="007517BB"/>
    <w:rsid w:val="00752A6D"/>
    <w:rsid w:val="00756C82"/>
    <w:rsid w:val="00761CA1"/>
    <w:rsid w:val="00771170"/>
    <w:rsid w:val="007805DD"/>
    <w:rsid w:val="00792852"/>
    <w:rsid w:val="007A1FD4"/>
    <w:rsid w:val="007B3CF5"/>
    <w:rsid w:val="007B517E"/>
    <w:rsid w:val="007B7FF1"/>
    <w:rsid w:val="007E31C5"/>
    <w:rsid w:val="007E605B"/>
    <w:rsid w:val="007E6A4F"/>
    <w:rsid w:val="007F200C"/>
    <w:rsid w:val="007F2982"/>
    <w:rsid w:val="00801E76"/>
    <w:rsid w:val="00804BFC"/>
    <w:rsid w:val="008056A3"/>
    <w:rsid w:val="00810FA5"/>
    <w:rsid w:val="00812ADE"/>
    <w:rsid w:val="00814748"/>
    <w:rsid w:val="0081513E"/>
    <w:rsid w:val="00815F9D"/>
    <w:rsid w:val="0082316F"/>
    <w:rsid w:val="008256E2"/>
    <w:rsid w:val="00826478"/>
    <w:rsid w:val="008324AE"/>
    <w:rsid w:val="00840147"/>
    <w:rsid w:val="0085364F"/>
    <w:rsid w:val="0085365D"/>
    <w:rsid w:val="0086434C"/>
    <w:rsid w:val="00870B70"/>
    <w:rsid w:val="00871A92"/>
    <w:rsid w:val="00872C1F"/>
    <w:rsid w:val="00876918"/>
    <w:rsid w:val="008816D3"/>
    <w:rsid w:val="00881BD4"/>
    <w:rsid w:val="00884888"/>
    <w:rsid w:val="00884FE7"/>
    <w:rsid w:val="008900F7"/>
    <w:rsid w:val="00896DDE"/>
    <w:rsid w:val="008A0A4E"/>
    <w:rsid w:val="008A1808"/>
    <w:rsid w:val="008A2F39"/>
    <w:rsid w:val="008A34E3"/>
    <w:rsid w:val="008A4DC5"/>
    <w:rsid w:val="008A6401"/>
    <w:rsid w:val="008A6BA6"/>
    <w:rsid w:val="008B2C4A"/>
    <w:rsid w:val="008C5E33"/>
    <w:rsid w:val="008D371E"/>
    <w:rsid w:val="008D5DDA"/>
    <w:rsid w:val="008D6D0A"/>
    <w:rsid w:val="008E7FB5"/>
    <w:rsid w:val="008F03AF"/>
    <w:rsid w:val="008F088C"/>
    <w:rsid w:val="008F092F"/>
    <w:rsid w:val="008F1626"/>
    <w:rsid w:val="008F7D70"/>
    <w:rsid w:val="00901B1A"/>
    <w:rsid w:val="00906134"/>
    <w:rsid w:val="0090650E"/>
    <w:rsid w:val="0091291B"/>
    <w:rsid w:val="00915AAA"/>
    <w:rsid w:val="00915FCE"/>
    <w:rsid w:val="009168D3"/>
    <w:rsid w:val="00917173"/>
    <w:rsid w:val="00940AFD"/>
    <w:rsid w:val="00942B30"/>
    <w:rsid w:val="00951148"/>
    <w:rsid w:val="00962504"/>
    <w:rsid w:val="0096720E"/>
    <w:rsid w:val="00967598"/>
    <w:rsid w:val="00985475"/>
    <w:rsid w:val="009861F2"/>
    <w:rsid w:val="00990253"/>
    <w:rsid w:val="00991B5A"/>
    <w:rsid w:val="009A0520"/>
    <w:rsid w:val="009A19C2"/>
    <w:rsid w:val="009A6C8B"/>
    <w:rsid w:val="009A6CD3"/>
    <w:rsid w:val="009B1250"/>
    <w:rsid w:val="009B474D"/>
    <w:rsid w:val="009B55CE"/>
    <w:rsid w:val="009C4680"/>
    <w:rsid w:val="009C79C9"/>
    <w:rsid w:val="009D41E8"/>
    <w:rsid w:val="009D5BF8"/>
    <w:rsid w:val="009D7A6B"/>
    <w:rsid w:val="009E2044"/>
    <w:rsid w:val="009E79AE"/>
    <w:rsid w:val="009F65AB"/>
    <w:rsid w:val="00A026D1"/>
    <w:rsid w:val="00A02EFA"/>
    <w:rsid w:val="00A04B12"/>
    <w:rsid w:val="00A057AF"/>
    <w:rsid w:val="00A1775D"/>
    <w:rsid w:val="00A33592"/>
    <w:rsid w:val="00A40F43"/>
    <w:rsid w:val="00A414DC"/>
    <w:rsid w:val="00A42E8B"/>
    <w:rsid w:val="00A447DD"/>
    <w:rsid w:val="00A44E4A"/>
    <w:rsid w:val="00A46C1C"/>
    <w:rsid w:val="00A476CD"/>
    <w:rsid w:val="00A5730F"/>
    <w:rsid w:val="00A6676C"/>
    <w:rsid w:val="00A66AD6"/>
    <w:rsid w:val="00A748B8"/>
    <w:rsid w:val="00A77977"/>
    <w:rsid w:val="00A813A2"/>
    <w:rsid w:val="00A81CCE"/>
    <w:rsid w:val="00A90A1A"/>
    <w:rsid w:val="00A91537"/>
    <w:rsid w:val="00A94469"/>
    <w:rsid w:val="00A94EC9"/>
    <w:rsid w:val="00A9574D"/>
    <w:rsid w:val="00A95FF6"/>
    <w:rsid w:val="00AA3AEE"/>
    <w:rsid w:val="00AC6AAF"/>
    <w:rsid w:val="00AD5051"/>
    <w:rsid w:val="00AD7A14"/>
    <w:rsid w:val="00AE079F"/>
    <w:rsid w:val="00AE3803"/>
    <w:rsid w:val="00AE3BF5"/>
    <w:rsid w:val="00AF4CAB"/>
    <w:rsid w:val="00AF57AB"/>
    <w:rsid w:val="00AF7345"/>
    <w:rsid w:val="00B031C5"/>
    <w:rsid w:val="00B16E4C"/>
    <w:rsid w:val="00B2130B"/>
    <w:rsid w:val="00B247CA"/>
    <w:rsid w:val="00B32383"/>
    <w:rsid w:val="00B36E85"/>
    <w:rsid w:val="00B37770"/>
    <w:rsid w:val="00B41FDF"/>
    <w:rsid w:val="00B46D1E"/>
    <w:rsid w:val="00B47595"/>
    <w:rsid w:val="00B47C34"/>
    <w:rsid w:val="00B50721"/>
    <w:rsid w:val="00B61409"/>
    <w:rsid w:val="00B66BA5"/>
    <w:rsid w:val="00B736BA"/>
    <w:rsid w:val="00B73EE9"/>
    <w:rsid w:val="00B746AE"/>
    <w:rsid w:val="00B80057"/>
    <w:rsid w:val="00B82B2C"/>
    <w:rsid w:val="00B841E1"/>
    <w:rsid w:val="00B926C5"/>
    <w:rsid w:val="00BA4A51"/>
    <w:rsid w:val="00BA6463"/>
    <w:rsid w:val="00BB154D"/>
    <w:rsid w:val="00BB1B0D"/>
    <w:rsid w:val="00BB2E69"/>
    <w:rsid w:val="00BB3814"/>
    <w:rsid w:val="00BB7B74"/>
    <w:rsid w:val="00BC4956"/>
    <w:rsid w:val="00BC5713"/>
    <w:rsid w:val="00BC5DF3"/>
    <w:rsid w:val="00BC5E54"/>
    <w:rsid w:val="00BE1ABC"/>
    <w:rsid w:val="00BE3922"/>
    <w:rsid w:val="00BE3CA5"/>
    <w:rsid w:val="00BE3CC2"/>
    <w:rsid w:val="00BE5393"/>
    <w:rsid w:val="00BE5E17"/>
    <w:rsid w:val="00BE61F5"/>
    <w:rsid w:val="00BF02C8"/>
    <w:rsid w:val="00BF6FB4"/>
    <w:rsid w:val="00C01314"/>
    <w:rsid w:val="00C02829"/>
    <w:rsid w:val="00C04DA9"/>
    <w:rsid w:val="00C05074"/>
    <w:rsid w:val="00C060FA"/>
    <w:rsid w:val="00C0731D"/>
    <w:rsid w:val="00C10049"/>
    <w:rsid w:val="00C12225"/>
    <w:rsid w:val="00C123D0"/>
    <w:rsid w:val="00C221F6"/>
    <w:rsid w:val="00C2535B"/>
    <w:rsid w:val="00C273A0"/>
    <w:rsid w:val="00C30995"/>
    <w:rsid w:val="00C3716C"/>
    <w:rsid w:val="00C50802"/>
    <w:rsid w:val="00C50EA3"/>
    <w:rsid w:val="00C50F26"/>
    <w:rsid w:val="00C54095"/>
    <w:rsid w:val="00C55D51"/>
    <w:rsid w:val="00C56B14"/>
    <w:rsid w:val="00C5787F"/>
    <w:rsid w:val="00C67905"/>
    <w:rsid w:val="00C72500"/>
    <w:rsid w:val="00C72C7F"/>
    <w:rsid w:val="00C75038"/>
    <w:rsid w:val="00C77326"/>
    <w:rsid w:val="00C92142"/>
    <w:rsid w:val="00C933D1"/>
    <w:rsid w:val="00C95541"/>
    <w:rsid w:val="00C95C1D"/>
    <w:rsid w:val="00CA1F0C"/>
    <w:rsid w:val="00CA7FA8"/>
    <w:rsid w:val="00CC155F"/>
    <w:rsid w:val="00CC2F5D"/>
    <w:rsid w:val="00CC4189"/>
    <w:rsid w:val="00CC6214"/>
    <w:rsid w:val="00CC7889"/>
    <w:rsid w:val="00CE0715"/>
    <w:rsid w:val="00CE4C4F"/>
    <w:rsid w:val="00D02308"/>
    <w:rsid w:val="00D05E56"/>
    <w:rsid w:val="00D130AC"/>
    <w:rsid w:val="00D358E8"/>
    <w:rsid w:val="00D4121C"/>
    <w:rsid w:val="00D52963"/>
    <w:rsid w:val="00D548AB"/>
    <w:rsid w:val="00D63051"/>
    <w:rsid w:val="00D6702E"/>
    <w:rsid w:val="00D75E91"/>
    <w:rsid w:val="00D828E0"/>
    <w:rsid w:val="00D8481B"/>
    <w:rsid w:val="00D867EF"/>
    <w:rsid w:val="00D86F6C"/>
    <w:rsid w:val="00D87D74"/>
    <w:rsid w:val="00D93217"/>
    <w:rsid w:val="00D93A7E"/>
    <w:rsid w:val="00DA1414"/>
    <w:rsid w:val="00DA3DE9"/>
    <w:rsid w:val="00DA6E39"/>
    <w:rsid w:val="00DB4AC9"/>
    <w:rsid w:val="00DC017E"/>
    <w:rsid w:val="00DC1251"/>
    <w:rsid w:val="00DC132F"/>
    <w:rsid w:val="00DC25C1"/>
    <w:rsid w:val="00DC3168"/>
    <w:rsid w:val="00DD47FF"/>
    <w:rsid w:val="00DE0A57"/>
    <w:rsid w:val="00DE7F26"/>
    <w:rsid w:val="00E01369"/>
    <w:rsid w:val="00E03D14"/>
    <w:rsid w:val="00E04924"/>
    <w:rsid w:val="00E0687F"/>
    <w:rsid w:val="00E13B0E"/>
    <w:rsid w:val="00E154E2"/>
    <w:rsid w:val="00E201A0"/>
    <w:rsid w:val="00E21054"/>
    <w:rsid w:val="00E21847"/>
    <w:rsid w:val="00E2460F"/>
    <w:rsid w:val="00E25F92"/>
    <w:rsid w:val="00E41A80"/>
    <w:rsid w:val="00E41F12"/>
    <w:rsid w:val="00E4387F"/>
    <w:rsid w:val="00E464A5"/>
    <w:rsid w:val="00E53B5B"/>
    <w:rsid w:val="00E546A7"/>
    <w:rsid w:val="00E57291"/>
    <w:rsid w:val="00E614D0"/>
    <w:rsid w:val="00E636B0"/>
    <w:rsid w:val="00E7052B"/>
    <w:rsid w:val="00E735BD"/>
    <w:rsid w:val="00E74482"/>
    <w:rsid w:val="00E764A9"/>
    <w:rsid w:val="00E76F9A"/>
    <w:rsid w:val="00E773F7"/>
    <w:rsid w:val="00E775FC"/>
    <w:rsid w:val="00E8601F"/>
    <w:rsid w:val="00E8627F"/>
    <w:rsid w:val="00E90BB9"/>
    <w:rsid w:val="00E92839"/>
    <w:rsid w:val="00E95F5D"/>
    <w:rsid w:val="00EA0A91"/>
    <w:rsid w:val="00EA0B81"/>
    <w:rsid w:val="00EB6300"/>
    <w:rsid w:val="00EB677C"/>
    <w:rsid w:val="00ED0EB0"/>
    <w:rsid w:val="00ED370A"/>
    <w:rsid w:val="00EF3496"/>
    <w:rsid w:val="00EF37DE"/>
    <w:rsid w:val="00EF5124"/>
    <w:rsid w:val="00EF5C28"/>
    <w:rsid w:val="00EF7CAE"/>
    <w:rsid w:val="00F029F5"/>
    <w:rsid w:val="00F069A0"/>
    <w:rsid w:val="00F06C54"/>
    <w:rsid w:val="00F10707"/>
    <w:rsid w:val="00F10F47"/>
    <w:rsid w:val="00F154E5"/>
    <w:rsid w:val="00F15F56"/>
    <w:rsid w:val="00F17337"/>
    <w:rsid w:val="00F2069D"/>
    <w:rsid w:val="00F27C0C"/>
    <w:rsid w:val="00F3031F"/>
    <w:rsid w:val="00F35E9A"/>
    <w:rsid w:val="00F376C6"/>
    <w:rsid w:val="00F41CEA"/>
    <w:rsid w:val="00F44C1B"/>
    <w:rsid w:val="00F4565F"/>
    <w:rsid w:val="00F47CEA"/>
    <w:rsid w:val="00F51E0E"/>
    <w:rsid w:val="00F5228F"/>
    <w:rsid w:val="00F52B50"/>
    <w:rsid w:val="00F54EBE"/>
    <w:rsid w:val="00F6045B"/>
    <w:rsid w:val="00F81D5A"/>
    <w:rsid w:val="00F849C7"/>
    <w:rsid w:val="00F9310A"/>
    <w:rsid w:val="00F97D8B"/>
    <w:rsid w:val="00FA329B"/>
    <w:rsid w:val="00FB1D5A"/>
    <w:rsid w:val="00FB4BD2"/>
    <w:rsid w:val="00FC72BC"/>
    <w:rsid w:val="00FD23CA"/>
    <w:rsid w:val="00FD4E63"/>
    <w:rsid w:val="00FD79B2"/>
    <w:rsid w:val="00FE1171"/>
    <w:rsid w:val="00FE14AE"/>
    <w:rsid w:val="00FE7288"/>
    <w:rsid w:val="00FF3DED"/>
    <w:rsid w:val="00FF5EAD"/>
  </w:rsids>
  <m:mathPr>
    <m:mathFont m:val="Arial Black"/>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815F9D"/>
    <w:pPr>
      <w:spacing w:line="240" w:lineRule="auto"/>
      <w:jc w:val="both"/>
    </w:pPr>
    <w:rPr>
      <w:rFonts w:ascii="Times New Roman" w:hAnsi="Times New Roman"/>
      <w:sz w:val="24"/>
    </w:rPr>
  </w:style>
  <w:style w:type="paragraph" w:styleId="Heading1">
    <w:name w:val="heading 1"/>
    <w:basedOn w:val="Normal"/>
    <w:next w:val="Normal"/>
    <w:link w:val="Heading1Char"/>
    <w:autoRedefine/>
    <w:uiPriority w:val="9"/>
    <w:qFormat/>
    <w:rsid w:val="003A691C"/>
    <w:pPr>
      <w:keepNext/>
      <w:keepLines/>
      <w:numPr>
        <w:numId w:val="16"/>
      </w:numPr>
      <w:spacing w:before="480" w:after="120"/>
      <w:ind w:left="0" w:firstLine="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F4565F"/>
    <w:pPr>
      <w:keepNext/>
      <w:keepLines/>
      <w:numPr>
        <w:ilvl w:val="1"/>
        <w:numId w:val="16"/>
      </w:numPr>
      <w:spacing w:before="28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03D14"/>
    <w:pPr>
      <w:keepLines/>
      <w:numPr>
        <w:ilvl w:val="2"/>
        <w:numId w:val="16"/>
      </w:numPr>
      <w:spacing w:before="1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E03D14"/>
    <w:pPr>
      <w:keepNext/>
      <w:keepLines/>
      <w:numPr>
        <w:ilvl w:val="3"/>
        <w:numId w:val="16"/>
      </w:numPr>
      <w:spacing w:before="1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rsid w:val="00E03D14"/>
    <w:pPr>
      <w:keepNext/>
      <w:keepLines/>
      <w:numPr>
        <w:ilvl w:val="4"/>
        <w:numId w:val="16"/>
      </w:numPr>
      <w:spacing w:before="200" w:after="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rsid w:val="00E03D14"/>
    <w:pPr>
      <w:keepNext/>
      <w:keepLines/>
      <w:numPr>
        <w:ilvl w:val="5"/>
        <w:numId w:val="16"/>
      </w:numPr>
      <w:spacing w:before="200" w:after="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rsid w:val="00E03D14"/>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rsid w:val="00E03D14"/>
    <w:pPr>
      <w:keepNext/>
      <w:keepLines/>
      <w:numPr>
        <w:ilvl w:val="7"/>
        <w:numId w:val="16"/>
      </w:numPr>
      <w:spacing w:before="200" w:after="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rsid w:val="00E03D14"/>
    <w:pPr>
      <w:keepNext/>
      <w:keepLines/>
      <w:numPr>
        <w:ilvl w:val="8"/>
        <w:numId w:val="16"/>
      </w:numPr>
      <w:spacing w:before="200" w:after="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2Char">
    <w:name w:val="Heading 2 Char"/>
    <w:basedOn w:val="DefaultParagraphFont"/>
    <w:link w:val="Heading2"/>
    <w:uiPriority w:val="9"/>
    <w:rsid w:val="00F4565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03D14"/>
    <w:rPr>
      <w:rFonts w:asciiTheme="majorHAnsi" w:eastAsiaTheme="majorEastAsia" w:hAnsiTheme="majorHAnsi" w:cstheme="majorBidi"/>
      <w:b/>
      <w:bCs/>
      <w:sz w:val="24"/>
    </w:rPr>
  </w:style>
  <w:style w:type="character" w:customStyle="1" w:styleId="Heading4Char">
    <w:name w:val="Heading 4 Char"/>
    <w:basedOn w:val="DefaultParagraphFont"/>
    <w:link w:val="Heading4"/>
    <w:uiPriority w:val="9"/>
    <w:rsid w:val="00E03D14"/>
    <w:rPr>
      <w:rFonts w:asciiTheme="majorHAnsi" w:eastAsiaTheme="majorEastAsia" w:hAnsiTheme="majorHAnsi" w:cstheme="majorBidi"/>
      <w:b/>
      <w:bCs/>
      <w:i/>
      <w:iCs/>
      <w:sz w:val="24"/>
    </w:rPr>
  </w:style>
  <w:style w:type="character" w:customStyle="1" w:styleId="Heading1Char">
    <w:name w:val="Heading 1 Char"/>
    <w:basedOn w:val="DefaultParagraphFont"/>
    <w:link w:val="Heading1"/>
    <w:uiPriority w:val="9"/>
    <w:rsid w:val="003A691C"/>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6B5374"/>
    <w:pPr>
      <w:ind w:left="720"/>
      <w:contextualSpacing/>
    </w:pPr>
  </w:style>
  <w:style w:type="paragraph" w:styleId="BalloonText">
    <w:name w:val="Balloon Text"/>
    <w:basedOn w:val="Normal"/>
    <w:link w:val="BalloonTextChar"/>
    <w:uiPriority w:val="99"/>
    <w:semiHidden/>
    <w:unhideWhenUsed/>
    <w:rsid w:val="003F48F0"/>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F48F0"/>
    <w:rPr>
      <w:rFonts w:ascii="Lucida Grande" w:hAnsi="Lucida Grande"/>
      <w:sz w:val="18"/>
      <w:szCs w:val="18"/>
    </w:rPr>
  </w:style>
  <w:style w:type="character" w:styleId="Emphasis">
    <w:name w:val="Emphasis"/>
    <w:basedOn w:val="DefaultParagraphFont"/>
    <w:uiPriority w:val="20"/>
    <w:rsid w:val="00DC1251"/>
    <w:rPr>
      <w:i/>
    </w:rPr>
  </w:style>
  <w:style w:type="character" w:styleId="Strong">
    <w:name w:val="Strong"/>
    <w:basedOn w:val="DefaultParagraphFont"/>
    <w:uiPriority w:val="22"/>
    <w:rsid w:val="00DC1251"/>
    <w:rPr>
      <w:b/>
    </w:rPr>
  </w:style>
  <w:style w:type="character" w:styleId="Hyperlink">
    <w:name w:val="Hyperlink"/>
    <w:basedOn w:val="DefaultParagraphFont"/>
    <w:uiPriority w:val="99"/>
    <w:rsid w:val="00DC1251"/>
    <w:rPr>
      <w:color w:val="0000FF"/>
      <w:u w:val="single"/>
    </w:rPr>
  </w:style>
  <w:style w:type="paragraph" w:styleId="BodyText">
    <w:name w:val="Body Text"/>
    <w:basedOn w:val="Normal"/>
    <w:link w:val="BodyTextChar"/>
    <w:rsid w:val="00E41F12"/>
    <w:pPr>
      <w:spacing w:after="0"/>
    </w:pPr>
    <w:rPr>
      <w:rFonts w:eastAsia="Times New Roman" w:cs="Times New Roman"/>
      <w:szCs w:val="24"/>
    </w:rPr>
  </w:style>
  <w:style w:type="character" w:customStyle="1" w:styleId="BodyTextChar">
    <w:name w:val="Body Text Char"/>
    <w:basedOn w:val="DefaultParagraphFont"/>
    <w:link w:val="BodyText"/>
    <w:rsid w:val="00E41F12"/>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EF5124"/>
    <w:pPr>
      <w:tabs>
        <w:tab w:val="center" w:pos="4320"/>
        <w:tab w:val="right" w:pos="8640"/>
      </w:tabs>
      <w:spacing w:after="0"/>
    </w:pPr>
  </w:style>
  <w:style w:type="character" w:customStyle="1" w:styleId="HeaderChar">
    <w:name w:val="Header Char"/>
    <w:basedOn w:val="DefaultParagraphFont"/>
    <w:link w:val="Header"/>
    <w:uiPriority w:val="99"/>
    <w:semiHidden/>
    <w:rsid w:val="00EF5124"/>
    <w:rPr>
      <w:rFonts w:ascii="Times New Roman" w:hAnsi="Times New Roman"/>
      <w:sz w:val="24"/>
    </w:rPr>
  </w:style>
  <w:style w:type="paragraph" w:styleId="Footer">
    <w:name w:val="footer"/>
    <w:basedOn w:val="Normal"/>
    <w:link w:val="FooterChar"/>
    <w:uiPriority w:val="99"/>
    <w:semiHidden/>
    <w:unhideWhenUsed/>
    <w:rsid w:val="00EF5124"/>
    <w:pPr>
      <w:tabs>
        <w:tab w:val="center" w:pos="4320"/>
        <w:tab w:val="right" w:pos="8640"/>
      </w:tabs>
      <w:spacing w:after="0"/>
    </w:pPr>
  </w:style>
  <w:style w:type="character" w:customStyle="1" w:styleId="FooterChar">
    <w:name w:val="Footer Char"/>
    <w:basedOn w:val="DefaultParagraphFont"/>
    <w:link w:val="Footer"/>
    <w:uiPriority w:val="99"/>
    <w:semiHidden/>
    <w:rsid w:val="00EF5124"/>
    <w:rPr>
      <w:rFonts w:ascii="Times New Roman" w:hAnsi="Times New Roman"/>
      <w:sz w:val="24"/>
    </w:rPr>
  </w:style>
  <w:style w:type="paragraph" w:customStyle="1" w:styleId="Appendix2">
    <w:name w:val="Appendix 2"/>
    <w:basedOn w:val="Normal"/>
    <w:next w:val="Normal"/>
    <w:qFormat/>
    <w:rsid w:val="002C20C1"/>
    <w:rPr>
      <w:b/>
    </w:rPr>
  </w:style>
  <w:style w:type="paragraph" w:customStyle="1" w:styleId="NewHeading2">
    <w:name w:val="NewHeading 2"/>
    <w:basedOn w:val="Heading2"/>
    <w:next w:val="Normal"/>
    <w:autoRedefine/>
    <w:qFormat/>
    <w:rsid w:val="003A691C"/>
    <w:pPr>
      <w:numPr>
        <w:numId w:val="8"/>
      </w:numPr>
    </w:pPr>
  </w:style>
  <w:style w:type="paragraph" w:styleId="ListContinue">
    <w:name w:val="List Continue"/>
    <w:basedOn w:val="Normal"/>
    <w:rsid w:val="00815F9D"/>
    <w:pPr>
      <w:spacing w:after="120"/>
      <w:ind w:left="360"/>
      <w:contextualSpacing/>
    </w:pPr>
  </w:style>
  <w:style w:type="paragraph" w:customStyle="1" w:styleId="FigureCaption">
    <w:name w:val="Figure Caption"/>
    <w:basedOn w:val="Normal"/>
    <w:next w:val="Normal"/>
    <w:qFormat/>
    <w:rsid w:val="003A691C"/>
    <w:pPr>
      <w:ind w:left="576" w:right="576"/>
    </w:pPr>
    <w:rPr>
      <w:sz w:val="20"/>
    </w:rPr>
  </w:style>
  <w:style w:type="paragraph" w:styleId="List">
    <w:name w:val="List"/>
    <w:basedOn w:val="Normal"/>
    <w:rsid w:val="00815F9D"/>
    <w:pPr>
      <w:ind w:left="360" w:hanging="360"/>
      <w:contextualSpacing/>
    </w:pPr>
  </w:style>
  <w:style w:type="character" w:customStyle="1" w:styleId="Heading5Char">
    <w:name w:val="Heading 5 Char"/>
    <w:basedOn w:val="DefaultParagraphFont"/>
    <w:link w:val="Heading5"/>
    <w:rsid w:val="00E03D14"/>
    <w:rPr>
      <w:rFonts w:asciiTheme="majorHAnsi" w:eastAsiaTheme="majorEastAsia" w:hAnsiTheme="majorHAnsi" w:cstheme="majorBidi"/>
      <w:color w:val="244061" w:themeColor="accent1" w:themeShade="80"/>
      <w:sz w:val="24"/>
    </w:rPr>
  </w:style>
  <w:style w:type="numbering" w:styleId="111111">
    <w:name w:val="Outline List 2"/>
    <w:basedOn w:val="NoList"/>
    <w:rsid w:val="00815F9D"/>
    <w:pPr>
      <w:numPr>
        <w:numId w:val="12"/>
      </w:numPr>
    </w:pPr>
  </w:style>
  <w:style w:type="character" w:customStyle="1" w:styleId="Heading6Char">
    <w:name w:val="Heading 6 Char"/>
    <w:basedOn w:val="DefaultParagraphFont"/>
    <w:link w:val="Heading6"/>
    <w:rsid w:val="00E03D14"/>
    <w:rPr>
      <w:rFonts w:asciiTheme="majorHAnsi" w:eastAsiaTheme="majorEastAsia" w:hAnsiTheme="majorHAnsi" w:cstheme="majorBidi"/>
      <w:i/>
      <w:iCs/>
      <w:color w:val="244061" w:themeColor="accent1" w:themeShade="80"/>
      <w:sz w:val="24"/>
    </w:rPr>
  </w:style>
  <w:style w:type="character" w:customStyle="1" w:styleId="Heading7Char">
    <w:name w:val="Heading 7 Char"/>
    <w:basedOn w:val="DefaultParagraphFont"/>
    <w:link w:val="Heading7"/>
    <w:rsid w:val="00E03D14"/>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E03D14"/>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E03D14"/>
    <w:rPr>
      <w:rFonts w:asciiTheme="majorHAnsi" w:eastAsiaTheme="majorEastAsia" w:hAnsiTheme="majorHAnsi" w:cstheme="majorBidi"/>
      <w:i/>
      <w:iCs/>
      <w:color w:val="363636" w:themeColor="text1" w:themeTint="C9"/>
      <w:sz w:val="20"/>
      <w:szCs w:val="20"/>
    </w:rPr>
  </w:style>
  <w:style w:type="paragraph" w:styleId="FootnoteText">
    <w:name w:val="footnote text"/>
    <w:basedOn w:val="Normal"/>
    <w:link w:val="FootnoteTextChar"/>
    <w:rsid w:val="000B1FFB"/>
    <w:pPr>
      <w:spacing w:after="0"/>
    </w:pPr>
    <w:rPr>
      <w:sz w:val="20"/>
      <w:szCs w:val="20"/>
    </w:rPr>
  </w:style>
  <w:style w:type="character" w:customStyle="1" w:styleId="FootnoteTextChar">
    <w:name w:val="Footnote Text Char"/>
    <w:basedOn w:val="DefaultParagraphFont"/>
    <w:link w:val="FootnoteText"/>
    <w:rsid w:val="000B1FFB"/>
    <w:rPr>
      <w:rFonts w:ascii="Times New Roman" w:hAnsi="Times New Roman"/>
      <w:sz w:val="20"/>
      <w:szCs w:val="20"/>
    </w:rPr>
  </w:style>
  <w:style w:type="character" w:styleId="FootnoteReference">
    <w:name w:val="footnote reference"/>
    <w:basedOn w:val="DefaultParagraphFont"/>
    <w:rsid w:val="000B1FFB"/>
    <w:rPr>
      <w:vertAlign w:val="superscript"/>
    </w:rPr>
  </w:style>
  <w:style w:type="paragraph" w:styleId="NormalWeb">
    <w:name w:val="Normal (Web)"/>
    <w:basedOn w:val="Normal"/>
    <w:uiPriority w:val="99"/>
    <w:rsid w:val="00494090"/>
    <w:pPr>
      <w:spacing w:beforeLines="1" w:afterLines="1"/>
      <w:jc w:val="left"/>
    </w:pPr>
    <w:rPr>
      <w:rFonts w:ascii="Times" w:hAnsi="Times" w:cs="Times New Roman"/>
      <w:sz w:val="20"/>
      <w:szCs w:val="20"/>
    </w:rPr>
  </w:style>
  <w:style w:type="character" w:styleId="PageNumber">
    <w:name w:val="page number"/>
    <w:basedOn w:val="DefaultParagraphFont"/>
    <w:rsid w:val="00413F92"/>
  </w:style>
  <w:style w:type="paragraph" w:customStyle="1" w:styleId="AppendixA">
    <w:name w:val="Appendix A"/>
    <w:basedOn w:val="Header"/>
    <w:qFormat/>
    <w:rsid w:val="00EB6300"/>
    <w:rPr>
      <w:rFonts w:asciiTheme="majorHAnsi" w:hAnsiTheme="majorHAnsi"/>
      <w:b/>
      <w:color w:val="4F81BD" w:themeColor="accent1"/>
      <w:sz w:val="28"/>
    </w:rPr>
  </w:style>
  <w:style w:type="character" w:styleId="CommentReference">
    <w:name w:val="annotation reference"/>
    <w:basedOn w:val="DefaultParagraphFont"/>
    <w:rsid w:val="0008405F"/>
    <w:rPr>
      <w:sz w:val="18"/>
      <w:szCs w:val="18"/>
    </w:rPr>
  </w:style>
  <w:style w:type="paragraph" w:styleId="CommentText">
    <w:name w:val="annotation text"/>
    <w:basedOn w:val="Normal"/>
    <w:link w:val="CommentTextChar"/>
    <w:rsid w:val="0008405F"/>
    <w:rPr>
      <w:szCs w:val="24"/>
    </w:rPr>
  </w:style>
  <w:style w:type="character" w:customStyle="1" w:styleId="CommentTextChar">
    <w:name w:val="Comment Text Char"/>
    <w:basedOn w:val="DefaultParagraphFont"/>
    <w:link w:val="CommentText"/>
    <w:rsid w:val="0008405F"/>
    <w:rPr>
      <w:rFonts w:ascii="Times New Roman" w:hAnsi="Times New Roman"/>
      <w:sz w:val="24"/>
      <w:szCs w:val="24"/>
    </w:rPr>
  </w:style>
  <w:style w:type="table" w:styleId="TableGrid">
    <w:name w:val="Table Grid"/>
    <w:basedOn w:val="TableNormal"/>
    <w:rsid w:val="002F2FE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99616964">
      <w:bodyDiv w:val="1"/>
      <w:marLeft w:val="0"/>
      <w:marRight w:val="0"/>
      <w:marTop w:val="0"/>
      <w:marBottom w:val="0"/>
      <w:divBdr>
        <w:top w:val="none" w:sz="0" w:space="0" w:color="auto"/>
        <w:left w:val="none" w:sz="0" w:space="0" w:color="auto"/>
        <w:bottom w:val="none" w:sz="0" w:space="0" w:color="auto"/>
        <w:right w:val="none" w:sz="0" w:space="0" w:color="auto"/>
      </w:divBdr>
      <w:divsChild>
        <w:div w:id="2076195709">
          <w:marLeft w:val="547"/>
          <w:marRight w:val="0"/>
          <w:marTop w:val="0"/>
          <w:marBottom w:val="0"/>
          <w:divBdr>
            <w:top w:val="none" w:sz="0" w:space="0" w:color="auto"/>
            <w:left w:val="none" w:sz="0" w:space="0" w:color="auto"/>
            <w:bottom w:val="none" w:sz="0" w:space="0" w:color="auto"/>
            <w:right w:val="none" w:sz="0" w:space="0" w:color="auto"/>
          </w:divBdr>
        </w:div>
        <w:div w:id="1431196292">
          <w:marLeft w:val="1166"/>
          <w:marRight w:val="0"/>
          <w:marTop w:val="0"/>
          <w:marBottom w:val="0"/>
          <w:divBdr>
            <w:top w:val="none" w:sz="0" w:space="0" w:color="auto"/>
            <w:left w:val="none" w:sz="0" w:space="0" w:color="auto"/>
            <w:bottom w:val="none" w:sz="0" w:space="0" w:color="auto"/>
            <w:right w:val="none" w:sz="0" w:space="0" w:color="auto"/>
          </w:divBdr>
        </w:div>
        <w:div w:id="600840420">
          <w:marLeft w:val="1166"/>
          <w:marRight w:val="0"/>
          <w:marTop w:val="0"/>
          <w:marBottom w:val="0"/>
          <w:divBdr>
            <w:top w:val="none" w:sz="0" w:space="0" w:color="auto"/>
            <w:left w:val="none" w:sz="0" w:space="0" w:color="auto"/>
            <w:bottom w:val="none" w:sz="0" w:space="0" w:color="auto"/>
            <w:right w:val="none" w:sz="0" w:space="0" w:color="auto"/>
          </w:divBdr>
        </w:div>
        <w:div w:id="2049210794">
          <w:marLeft w:val="1166"/>
          <w:marRight w:val="0"/>
          <w:marTop w:val="0"/>
          <w:marBottom w:val="0"/>
          <w:divBdr>
            <w:top w:val="none" w:sz="0" w:space="0" w:color="auto"/>
            <w:left w:val="none" w:sz="0" w:space="0" w:color="auto"/>
            <w:bottom w:val="none" w:sz="0" w:space="0" w:color="auto"/>
            <w:right w:val="none" w:sz="0" w:space="0" w:color="auto"/>
          </w:divBdr>
        </w:div>
        <w:div w:id="558202332">
          <w:marLeft w:val="547"/>
          <w:marRight w:val="0"/>
          <w:marTop w:val="0"/>
          <w:marBottom w:val="0"/>
          <w:divBdr>
            <w:top w:val="none" w:sz="0" w:space="0" w:color="auto"/>
            <w:left w:val="none" w:sz="0" w:space="0" w:color="auto"/>
            <w:bottom w:val="none" w:sz="0" w:space="0" w:color="auto"/>
            <w:right w:val="none" w:sz="0" w:space="0" w:color="auto"/>
          </w:divBdr>
        </w:div>
        <w:div w:id="10958015">
          <w:marLeft w:val="1166"/>
          <w:marRight w:val="0"/>
          <w:marTop w:val="0"/>
          <w:marBottom w:val="0"/>
          <w:divBdr>
            <w:top w:val="none" w:sz="0" w:space="0" w:color="auto"/>
            <w:left w:val="none" w:sz="0" w:space="0" w:color="auto"/>
            <w:bottom w:val="none" w:sz="0" w:space="0" w:color="auto"/>
            <w:right w:val="none" w:sz="0" w:space="0" w:color="auto"/>
          </w:divBdr>
        </w:div>
        <w:div w:id="278993742">
          <w:marLeft w:val="1166"/>
          <w:marRight w:val="0"/>
          <w:marTop w:val="0"/>
          <w:marBottom w:val="0"/>
          <w:divBdr>
            <w:top w:val="none" w:sz="0" w:space="0" w:color="auto"/>
            <w:left w:val="none" w:sz="0" w:space="0" w:color="auto"/>
            <w:bottom w:val="none" w:sz="0" w:space="0" w:color="auto"/>
            <w:right w:val="none" w:sz="0" w:space="0" w:color="auto"/>
          </w:divBdr>
        </w:div>
      </w:divsChild>
    </w:div>
    <w:div w:id="230848110">
      <w:bodyDiv w:val="1"/>
      <w:marLeft w:val="0"/>
      <w:marRight w:val="0"/>
      <w:marTop w:val="0"/>
      <w:marBottom w:val="0"/>
      <w:divBdr>
        <w:top w:val="none" w:sz="0" w:space="0" w:color="auto"/>
        <w:left w:val="none" w:sz="0" w:space="0" w:color="auto"/>
        <w:bottom w:val="none" w:sz="0" w:space="0" w:color="auto"/>
        <w:right w:val="none" w:sz="0" w:space="0" w:color="auto"/>
      </w:divBdr>
      <w:divsChild>
        <w:div w:id="922835453">
          <w:marLeft w:val="547"/>
          <w:marRight w:val="0"/>
          <w:marTop w:val="0"/>
          <w:marBottom w:val="0"/>
          <w:divBdr>
            <w:top w:val="none" w:sz="0" w:space="0" w:color="auto"/>
            <w:left w:val="none" w:sz="0" w:space="0" w:color="auto"/>
            <w:bottom w:val="none" w:sz="0" w:space="0" w:color="auto"/>
            <w:right w:val="none" w:sz="0" w:space="0" w:color="auto"/>
          </w:divBdr>
        </w:div>
        <w:div w:id="1485007619">
          <w:marLeft w:val="547"/>
          <w:marRight w:val="0"/>
          <w:marTop w:val="0"/>
          <w:marBottom w:val="0"/>
          <w:divBdr>
            <w:top w:val="none" w:sz="0" w:space="0" w:color="auto"/>
            <w:left w:val="none" w:sz="0" w:space="0" w:color="auto"/>
            <w:bottom w:val="none" w:sz="0" w:space="0" w:color="auto"/>
            <w:right w:val="none" w:sz="0" w:space="0" w:color="auto"/>
          </w:divBdr>
        </w:div>
        <w:div w:id="2079327996">
          <w:marLeft w:val="547"/>
          <w:marRight w:val="0"/>
          <w:marTop w:val="0"/>
          <w:marBottom w:val="0"/>
          <w:divBdr>
            <w:top w:val="none" w:sz="0" w:space="0" w:color="auto"/>
            <w:left w:val="none" w:sz="0" w:space="0" w:color="auto"/>
            <w:bottom w:val="none" w:sz="0" w:space="0" w:color="auto"/>
            <w:right w:val="none" w:sz="0" w:space="0" w:color="auto"/>
          </w:divBdr>
        </w:div>
      </w:divsChild>
    </w:div>
    <w:div w:id="292444629">
      <w:bodyDiv w:val="1"/>
      <w:marLeft w:val="0"/>
      <w:marRight w:val="0"/>
      <w:marTop w:val="0"/>
      <w:marBottom w:val="0"/>
      <w:divBdr>
        <w:top w:val="none" w:sz="0" w:space="0" w:color="auto"/>
        <w:left w:val="none" w:sz="0" w:space="0" w:color="auto"/>
        <w:bottom w:val="none" w:sz="0" w:space="0" w:color="auto"/>
        <w:right w:val="none" w:sz="0" w:space="0" w:color="auto"/>
      </w:divBdr>
    </w:div>
    <w:div w:id="422920700">
      <w:bodyDiv w:val="1"/>
      <w:marLeft w:val="0"/>
      <w:marRight w:val="0"/>
      <w:marTop w:val="0"/>
      <w:marBottom w:val="0"/>
      <w:divBdr>
        <w:top w:val="none" w:sz="0" w:space="0" w:color="auto"/>
        <w:left w:val="none" w:sz="0" w:space="0" w:color="auto"/>
        <w:bottom w:val="none" w:sz="0" w:space="0" w:color="auto"/>
        <w:right w:val="none" w:sz="0" w:space="0" w:color="auto"/>
      </w:divBdr>
    </w:div>
    <w:div w:id="423187510">
      <w:bodyDiv w:val="1"/>
      <w:marLeft w:val="0"/>
      <w:marRight w:val="0"/>
      <w:marTop w:val="0"/>
      <w:marBottom w:val="0"/>
      <w:divBdr>
        <w:top w:val="none" w:sz="0" w:space="0" w:color="auto"/>
        <w:left w:val="none" w:sz="0" w:space="0" w:color="auto"/>
        <w:bottom w:val="none" w:sz="0" w:space="0" w:color="auto"/>
        <w:right w:val="none" w:sz="0" w:space="0" w:color="auto"/>
      </w:divBdr>
    </w:div>
    <w:div w:id="544368253">
      <w:bodyDiv w:val="1"/>
      <w:marLeft w:val="0"/>
      <w:marRight w:val="0"/>
      <w:marTop w:val="0"/>
      <w:marBottom w:val="0"/>
      <w:divBdr>
        <w:top w:val="none" w:sz="0" w:space="0" w:color="auto"/>
        <w:left w:val="none" w:sz="0" w:space="0" w:color="auto"/>
        <w:bottom w:val="none" w:sz="0" w:space="0" w:color="auto"/>
        <w:right w:val="none" w:sz="0" w:space="0" w:color="auto"/>
      </w:divBdr>
    </w:div>
    <w:div w:id="571617756">
      <w:bodyDiv w:val="1"/>
      <w:marLeft w:val="0"/>
      <w:marRight w:val="0"/>
      <w:marTop w:val="0"/>
      <w:marBottom w:val="0"/>
      <w:divBdr>
        <w:top w:val="none" w:sz="0" w:space="0" w:color="auto"/>
        <w:left w:val="none" w:sz="0" w:space="0" w:color="auto"/>
        <w:bottom w:val="none" w:sz="0" w:space="0" w:color="auto"/>
        <w:right w:val="none" w:sz="0" w:space="0" w:color="auto"/>
      </w:divBdr>
    </w:div>
    <w:div w:id="714541927">
      <w:bodyDiv w:val="1"/>
      <w:marLeft w:val="0"/>
      <w:marRight w:val="0"/>
      <w:marTop w:val="0"/>
      <w:marBottom w:val="0"/>
      <w:divBdr>
        <w:top w:val="none" w:sz="0" w:space="0" w:color="auto"/>
        <w:left w:val="none" w:sz="0" w:space="0" w:color="auto"/>
        <w:bottom w:val="none" w:sz="0" w:space="0" w:color="auto"/>
        <w:right w:val="none" w:sz="0" w:space="0" w:color="auto"/>
      </w:divBdr>
    </w:div>
    <w:div w:id="908540941">
      <w:bodyDiv w:val="1"/>
      <w:marLeft w:val="0"/>
      <w:marRight w:val="0"/>
      <w:marTop w:val="0"/>
      <w:marBottom w:val="0"/>
      <w:divBdr>
        <w:top w:val="none" w:sz="0" w:space="0" w:color="auto"/>
        <w:left w:val="none" w:sz="0" w:space="0" w:color="auto"/>
        <w:bottom w:val="none" w:sz="0" w:space="0" w:color="auto"/>
        <w:right w:val="none" w:sz="0" w:space="0" w:color="auto"/>
      </w:divBdr>
    </w:div>
    <w:div w:id="1150630029">
      <w:bodyDiv w:val="1"/>
      <w:marLeft w:val="0"/>
      <w:marRight w:val="0"/>
      <w:marTop w:val="0"/>
      <w:marBottom w:val="0"/>
      <w:divBdr>
        <w:top w:val="none" w:sz="0" w:space="0" w:color="auto"/>
        <w:left w:val="none" w:sz="0" w:space="0" w:color="auto"/>
        <w:bottom w:val="none" w:sz="0" w:space="0" w:color="auto"/>
        <w:right w:val="none" w:sz="0" w:space="0" w:color="auto"/>
      </w:divBdr>
      <w:divsChild>
        <w:div w:id="1252743343">
          <w:marLeft w:val="547"/>
          <w:marRight w:val="0"/>
          <w:marTop w:val="0"/>
          <w:marBottom w:val="0"/>
          <w:divBdr>
            <w:top w:val="none" w:sz="0" w:space="0" w:color="auto"/>
            <w:left w:val="none" w:sz="0" w:space="0" w:color="auto"/>
            <w:bottom w:val="none" w:sz="0" w:space="0" w:color="auto"/>
            <w:right w:val="none" w:sz="0" w:space="0" w:color="auto"/>
          </w:divBdr>
        </w:div>
        <w:div w:id="1155028860">
          <w:marLeft w:val="1166"/>
          <w:marRight w:val="0"/>
          <w:marTop w:val="0"/>
          <w:marBottom w:val="0"/>
          <w:divBdr>
            <w:top w:val="none" w:sz="0" w:space="0" w:color="auto"/>
            <w:left w:val="none" w:sz="0" w:space="0" w:color="auto"/>
            <w:bottom w:val="none" w:sz="0" w:space="0" w:color="auto"/>
            <w:right w:val="none" w:sz="0" w:space="0" w:color="auto"/>
          </w:divBdr>
        </w:div>
        <w:div w:id="1602565544">
          <w:marLeft w:val="1166"/>
          <w:marRight w:val="0"/>
          <w:marTop w:val="0"/>
          <w:marBottom w:val="0"/>
          <w:divBdr>
            <w:top w:val="none" w:sz="0" w:space="0" w:color="auto"/>
            <w:left w:val="none" w:sz="0" w:space="0" w:color="auto"/>
            <w:bottom w:val="none" w:sz="0" w:space="0" w:color="auto"/>
            <w:right w:val="none" w:sz="0" w:space="0" w:color="auto"/>
          </w:divBdr>
        </w:div>
        <w:div w:id="2059619260">
          <w:marLeft w:val="1166"/>
          <w:marRight w:val="0"/>
          <w:marTop w:val="0"/>
          <w:marBottom w:val="0"/>
          <w:divBdr>
            <w:top w:val="none" w:sz="0" w:space="0" w:color="auto"/>
            <w:left w:val="none" w:sz="0" w:space="0" w:color="auto"/>
            <w:bottom w:val="none" w:sz="0" w:space="0" w:color="auto"/>
            <w:right w:val="none" w:sz="0" w:space="0" w:color="auto"/>
          </w:divBdr>
        </w:div>
        <w:div w:id="450169746">
          <w:marLeft w:val="547"/>
          <w:marRight w:val="0"/>
          <w:marTop w:val="0"/>
          <w:marBottom w:val="0"/>
          <w:divBdr>
            <w:top w:val="none" w:sz="0" w:space="0" w:color="auto"/>
            <w:left w:val="none" w:sz="0" w:space="0" w:color="auto"/>
            <w:bottom w:val="none" w:sz="0" w:space="0" w:color="auto"/>
            <w:right w:val="none" w:sz="0" w:space="0" w:color="auto"/>
          </w:divBdr>
        </w:div>
        <w:div w:id="1667518133">
          <w:marLeft w:val="1166"/>
          <w:marRight w:val="0"/>
          <w:marTop w:val="0"/>
          <w:marBottom w:val="0"/>
          <w:divBdr>
            <w:top w:val="none" w:sz="0" w:space="0" w:color="auto"/>
            <w:left w:val="none" w:sz="0" w:space="0" w:color="auto"/>
            <w:bottom w:val="none" w:sz="0" w:space="0" w:color="auto"/>
            <w:right w:val="none" w:sz="0" w:space="0" w:color="auto"/>
          </w:divBdr>
        </w:div>
        <w:div w:id="173999736">
          <w:marLeft w:val="1166"/>
          <w:marRight w:val="0"/>
          <w:marTop w:val="0"/>
          <w:marBottom w:val="0"/>
          <w:divBdr>
            <w:top w:val="none" w:sz="0" w:space="0" w:color="auto"/>
            <w:left w:val="none" w:sz="0" w:space="0" w:color="auto"/>
            <w:bottom w:val="none" w:sz="0" w:space="0" w:color="auto"/>
            <w:right w:val="none" w:sz="0" w:space="0" w:color="auto"/>
          </w:divBdr>
        </w:div>
        <w:div w:id="1149397292">
          <w:marLeft w:val="1166"/>
          <w:marRight w:val="0"/>
          <w:marTop w:val="0"/>
          <w:marBottom w:val="0"/>
          <w:divBdr>
            <w:top w:val="none" w:sz="0" w:space="0" w:color="auto"/>
            <w:left w:val="none" w:sz="0" w:space="0" w:color="auto"/>
            <w:bottom w:val="none" w:sz="0" w:space="0" w:color="auto"/>
            <w:right w:val="none" w:sz="0" w:space="0" w:color="auto"/>
          </w:divBdr>
        </w:div>
        <w:div w:id="1884095729">
          <w:marLeft w:val="547"/>
          <w:marRight w:val="0"/>
          <w:marTop w:val="0"/>
          <w:marBottom w:val="0"/>
          <w:divBdr>
            <w:top w:val="none" w:sz="0" w:space="0" w:color="auto"/>
            <w:left w:val="none" w:sz="0" w:space="0" w:color="auto"/>
            <w:bottom w:val="none" w:sz="0" w:space="0" w:color="auto"/>
            <w:right w:val="none" w:sz="0" w:space="0" w:color="auto"/>
          </w:divBdr>
        </w:div>
        <w:div w:id="313335829">
          <w:marLeft w:val="1166"/>
          <w:marRight w:val="0"/>
          <w:marTop w:val="0"/>
          <w:marBottom w:val="0"/>
          <w:divBdr>
            <w:top w:val="none" w:sz="0" w:space="0" w:color="auto"/>
            <w:left w:val="none" w:sz="0" w:space="0" w:color="auto"/>
            <w:bottom w:val="none" w:sz="0" w:space="0" w:color="auto"/>
            <w:right w:val="none" w:sz="0" w:space="0" w:color="auto"/>
          </w:divBdr>
        </w:div>
        <w:div w:id="1561281187">
          <w:marLeft w:val="1166"/>
          <w:marRight w:val="0"/>
          <w:marTop w:val="0"/>
          <w:marBottom w:val="0"/>
          <w:divBdr>
            <w:top w:val="none" w:sz="0" w:space="0" w:color="auto"/>
            <w:left w:val="none" w:sz="0" w:space="0" w:color="auto"/>
            <w:bottom w:val="none" w:sz="0" w:space="0" w:color="auto"/>
            <w:right w:val="none" w:sz="0" w:space="0" w:color="auto"/>
          </w:divBdr>
        </w:div>
        <w:div w:id="333803876">
          <w:marLeft w:val="547"/>
          <w:marRight w:val="0"/>
          <w:marTop w:val="0"/>
          <w:marBottom w:val="0"/>
          <w:divBdr>
            <w:top w:val="none" w:sz="0" w:space="0" w:color="auto"/>
            <w:left w:val="none" w:sz="0" w:space="0" w:color="auto"/>
            <w:bottom w:val="none" w:sz="0" w:space="0" w:color="auto"/>
            <w:right w:val="none" w:sz="0" w:space="0" w:color="auto"/>
          </w:divBdr>
        </w:div>
      </w:divsChild>
    </w:div>
    <w:div w:id="1603300079">
      <w:bodyDiv w:val="1"/>
      <w:marLeft w:val="0"/>
      <w:marRight w:val="0"/>
      <w:marTop w:val="0"/>
      <w:marBottom w:val="0"/>
      <w:divBdr>
        <w:top w:val="none" w:sz="0" w:space="0" w:color="auto"/>
        <w:left w:val="none" w:sz="0" w:space="0" w:color="auto"/>
        <w:bottom w:val="none" w:sz="0" w:space="0" w:color="auto"/>
        <w:right w:val="none" w:sz="0" w:space="0" w:color="auto"/>
      </w:divBdr>
    </w:div>
    <w:div w:id="1699812346">
      <w:bodyDiv w:val="1"/>
      <w:marLeft w:val="0"/>
      <w:marRight w:val="0"/>
      <w:marTop w:val="0"/>
      <w:marBottom w:val="0"/>
      <w:divBdr>
        <w:top w:val="none" w:sz="0" w:space="0" w:color="auto"/>
        <w:left w:val="none" w:sz="0" w:space="0" w:color="auto"/>
        <w:bottom w:val="none" w:sz="0" w:space="0" w:color="auto"/>
        <w:right w:val="none" w:sz="0" w:space="0" w:color="auto"/>
      </w:divBdr>
    </w:div>
    <w:div w:id="1829397177">
      <w:bodyDiv w:val="1"/>
      <w:marLeft w:val="0"/>
      <w:marRight w:val="0"/>
      <w:marTop w:val="0"/>
      <w:marBottom w:val="0"/>
      <w:divBdr>
        <w:top w:val="none" w:sz="0" w:space="0" w:color="auto"/>
        <w:left w:val="none" w:sz="0" w:space="0" w:color="auto"/>
        <w:bottom w:val="none" w:sz="0" w:space="0" w:color="auto"/>
        <w:right w:val="none" w:sz="0" w:space="0" w:color="auto"/>
      </w:divBdr>
      <w:divsChild>
        <w:div w:id="678964024">
          <w:marLeft w:val="547"/>
          <w:marRight w:val="0"/>
          <w:marTop w:val="0"/>
          <w:marBottom w:val="0"/>
          <w:divBdr>
            <w:top w:val="none" w:sz="0" w:space="0" w:color="auto"/>
            <w:left w:val="none" w:sz="0" w:space="0" w:color="auto"/>
            <w:bottom w:val="none" w:sz="0" w:space="0" w:color="auto"/>
            <w:right w:val="none" w:sz="0" w:space="0" w:color="auto"/>
          </w:divBdr>
        </w:div>
        <w:div w:id="509948536">
          <w:marLeft w:val="1166"/>
          <w:marRight w:val="0"/>
          <w:marTop w:val="0"/>
          <w:marBottom w:val="0"/>
          <w:divBdr>
            <w:top w:val="none" w:sz="0" w:space="0" w:color="auto"/>
            <w:left w:val="none" w:sz="0" w:space="0" w:color="auto"/>
            <w:bottom w:val="none" w:sz="0" w:space="0" w:color="auto"/>
            <w:right w:val="none" w:sz="0" w:space="0" w:color="auto"/>
          </w:divBdr>
        </w:div>
        <w:div w:id="1293831777">
          <w:marLeft w:val="1166"/>
          <w:marRight w:val="0"/>
          <w:marTop w:val="0"/>
          <w:marBottom w:val="0"/>
          <w:divBdr>
            <w:top w:val="none" w:sz="0" w:space="0" w:color="auto"/>
            <w:left w:val="none" w:sz="0" w:space="0" w:color="auto"/>
            <w:bottom w:val="none" w:sz="0" w:space="0" w:color="auto"/>
            <w:right w:val="none" w:sz="0" w:space="0" w:color="auto"/>
          </w:divBdr>
        </w:div>
        <w:div w:id="2026518336">
          <w:marLeft w:val="1166"/>
          <w:marRight w:val="0"/>
          <w:marTop w:val="0"/>
          <w:marBottom w:val="0"/>
          <w:divBdr>
            <w:top w:val="none" w:sz="0" w:space="0" w:color="auto"/>
            <w:left w:val="none" w:sz="0" w:space="0" w:color="auto"/>
            <w:bottom w:val="none" w:sz="0" w:space="0" w:color="auto"/>
            <w:right w:val="none" w:sz="0" w:space="0" w:color="auto"/>
          </w:divBdr>
        </w:div>
        <w:div w:id="402145395">
          <w:marLeft w:val="1166"/>
          <w:marRight w:val="0"/>
          <w:marTop w:val="0"/>
          <w:marBottom w:val="0"/>
          <w:divBdr>
            <w:top w:val="none" w:sz="0" w:space="0" w:color="auto"/>
            <w:left w:val="none" w:sz="0" w:space="0" w:color="auto"/>
            <w:bottom w:val="none" w:sz="0" w:space="0" w:color="auto"/>
            <w:right w:val="none" w:sz="0" w:space="0" w:color="auto"/>
          </w:divBdr>
        </w:div>
        <w:div w:id="588781819">
          <w:marLeft w:val="547"/>
          <w:marRight w:val="0"/>
          <w:marTop w:val="0"/>
          <w:marBottom w:val="0"/>
          <w:divBdr>
            <w:top w:val="none" w:sz="0" w:space="0" w:color="auto"/>
            <w:left w:val="none" w:sz="0" w:space="0" w:color="auto"/>
            <w:bottom w:val="none" w:sz="0" w:space="0" w:color="auto"/>
            <w:right w:val="none" w:sz="0" w:space="0" w:color="auto"/>
          </w:divBdr>
        </w:div>
        <w:div w:id="1984893075">
          <w:marLeft w:val="1166"/>
          <w:marRight w:val="0"/>
          <w:marTop w:val="0"/>
          <w:marBottom w:val="0"/>
          <w:divBdr>
            <w:top w:val="none" w:sz="0" w:space="0" w:color="auto"/>
            <w:left w:val="none" w:sz="0" w:space="0" w:color="auto"/>
            <w:bottom w:val="none" w:sz="0" w:space="0" w:color="auto"/>
            <w:right w:val="none" w:sz="0" w:space="0" w:color="auto"/>
          </w:divBdr>
        </w:div>
        <w:div w:id="1774477793">
          <w:marLeft w:val="1166"/>
          <w:marRight w:val="0"/>
          <w:marTop w:val="0"/>
          <w:marBottom w:val="0"/>
          <w:divBdr>
            <w:top w:val="none" w:sz="0" w:space="0" w:color="auto"/>
            <w:left w:val="none" w:sz="0" w:space="0" w:color="auto"/>
            <w:bottom w:val="none" w:sz="0" w:space="0" w:color="auto"/>
            <w:right w:val="none" w:sz="0" w:space="0" w:color="auto"/>
          </w:divBdr>
        </w:div>
        <w:div w:id="733969436">
          <w:marLeft w:val="547"/>
          <w:marRight w:val="0"/>
          <w:marTop w:val="0"/>
          <w:marBottom w:val="0"/>
          <w:divBdr>
            <w:top w:val="none" w:sz="0" w:space="0" w:color="auto"/>
            <w:left w:val="none" w:sz="0" w:space="0" w:color="auto"/>
            <w:bottom w:val="none" w:sz="0" w:space="0" w:color="auto"/>
            <w:right w:val="none" w:sz="0" w:space="0" w:color="auto"/>
          </w:divBdr>
        </w:div>
        <w:div w:id="1724981019">
          <w:marLeft w:val="1166"/>
          <w:marRight w:val="0"/>
          <w:marTop w:val="0"/>
          <w:marBottom w:val="0"/>
          <w:divBdr>
            <w:top w:val="none" w:sz="0" w:space="0" w:color="auto"/>
            <w:left w:val="none" w:sz="0" w:space="0" w:color="auto"/>
            <w:bottom w:val="none" w:sz="0" w:space="0" w:color="auto"/>
            <w:right w:val="none" w:sz="0" w:space="0" w:color="auto"/>
          </w:divBdr>
        </w:div>
        <w:div w:id="1469665743">
          <w:marLeft w:val="1166"/>
          <w:marRight w:val="0"/>
          <w:marTop w:val="0"/>
          <w:marBottom w:val="0"/>
          <w:divBdr>
            <w:top w:val="none" w:sz="0" w:space="0" w:color="auto"/>
            <w:left w:val="none" w:sz="0" w:space="0" w:color="auto"/>
            <w:bottom w:val="none" w:sz="0" w:space="0" w:color="auto"/>
            <w:right w:val="none" w:sz="0" w:space="0" w:color="auto"/>
          </w:divBdr>
        </w:div>
        <w:div w:id="21828031">
          <w:marLeft w:val="1166"/>
          <w:marRight w:val="0"/>
          <w:marTop w:val="0"/>
          <w:marBottom w:val="0"/>
          <w:divBdr>
            <w:top w:val="none" w:sz="0" w:space="0" w:color="auto"/>
            <w:left w:val="none" w:sz="0" w:space="0" w:color="auto"/>
            <w:bottom w:val="none" w:sz="0" w:space="0" w:color="auto"/>
            <w:right w:val="none" w:sz="0" w:space="0" w:color="auto"/>
          </w:divBdr>
        </w:div>
        <w:div w:id="1478065941">
          <w:marLeft w:val="1166"/>
          <w:marRight w:val="0"/>
          <w:marTop w:val="0"/>
          <w:marBottom w:val="0"/>
          <w:divBdr>
            <w:top w:val="none" w:sz="0" w:space="0" w:color="auto"/>
            <w:left w:val="none" w:sz="0" w:space="0" w:color="auto"/>
            <w:bottom w:val="none" w:sz="0" w:space="0" w:color="auto"/>
            <w:right w:val="none" w:sz="0" w:space="0" w:color="auto"/>
          </w:divBdr>
        </w:div>
      </w:divsChild>
    </w:div>
    <w:div w:id="1876119548">
      <w:bodyDiv w:val="1"/>
      <w:marLeft w:val="0"/>
      <w:marRight w:val="0"/>
      <w:marTop w:val="0"/>
      <w:marBottom w:val="0"/>
      <w:divBdr>
        <w:top w:val="none" w:sz="0" w:space="0" w:color="auto"/>
        <w:left w:val="none" w:sz="0" w:space="0" w:color="auto"/>
        <w:bottom w:val="none" w:sz="0" w:space="0" w:color="auto"/>
        <w:right w:val="none" w:sz="0" w:space="0" w:color="auto"/>
      </w:divBdr>
      <w:divsChild>
        <w:div w:id="1377049998">
          <w:marLeft w:val="547"/>
          <w:marRight w:val="0"/>
          <w:marTop w:val="0"/>
          <w:marBottom w:val="0"/>
          <w:divBdr>
            <w:top w:val="none" w:sz="0" w:space="0" w:color="auto"/>
            <w:left w:val="none" w:sz="0" w:space="0" w:color="auto"/>
            <w:bottom w:val="none" w:sz="0" w:space="0" w:color="auto"/>
            <w:right w:val="none" w:sz="0" w:space="0" w:color="auto"/>
          </w:divBdr>
        </w:div>
        <w:div w:id="1755082362">
          <w:marLeft w:val="547"/>
          <w:marRight w:val="0"/>
          <w:marTop w:val="0"/>
          <w:marBottom w:val="0"/>
          <w:divBdr>
            <w:top w:val="none" w:sz="0" w:space="0" w:color="auto"/>
            <w:left w:val="none" w:sz="0" w:space="0" w:color="auto"/>
            <w:bottom w:val="none" w:sz="0" w:space="0" w:color="auto"/>
            <w:right w:val="none" w:sz="0" w:space="0" w:color="auto"/>
          </w:divBdr>
        </w:div>
        <w:div w:id="2037149765">
          <w:marLeft w:val="547"/>
          <w:marRight w:val="0"/>
          <w:marTop w:val="0"/>
          <w:marBottom w:val="0"/>
          <w:divBdr>
            <w:top w:val="none" w:sz="0" w:space="0" w:color="auto"/>
            <w:left w:val="none" w:sz="0" w:space="0" w:color="auto"/>
            <w:bottom w:val="none" w:sz="0" w:space="0" w:color="auto"/>
            <w:right w:val="none" w:sz="0" w:space="0" w:color="auto"/>
          </w:divBdr>
        </w:div>
        <w:div w:id="1130781961">
          <w:marLeft w:val="547"/>
          <w:marRight w:val="0"/>
          <w:marTop w:val="0"/>
          <w:marBottom w:val="0"/>
          <w:divBdr>
            <w:top w:val="none" w:sz="0" w:space="0" w:color="auto"/>
            <w:left w:val="none" w:sz="0" w:space="0" w:color="auto"/>
            <w:bottom w:val="none" w:sz="0" w:space="0" w:color="auto"/>
            <w:right w:val="none" w:sz="0" w:space="0" w:color="auto"/>
          </w:divBdr>
        </w:div>
        <w:div w:id="936476562">
          <w:marLeft w:val="547"/>
          <w:marRight w:val="0"/>
          <w:marTop w:val="0"/>
          <w:marBottom w:val="0"/>
          <w:divBdr>
            <w:top w:val="none" w:sz="0" w:space="0" w:color="auto"/>
            <w:left w:val="none" w:sz="0" w:space="0" w:color="auto"/>
            <w:bottom w:val="none" w:sz="0" w:space="0" w:color="auto"/>
            <w:right w:val="none" w:sz="0" w:space="0" w:color="auto"/>
          </w:divBdr>
        </w:div>
        <w:div w:id="1070999521">
          <w:marLeft w:val="547"/>
          <w:marRight w:val="0"/>
          <w:marTop w:val="0"/>
          <w:marBottom w:val="0"/>
          <w:divBdr>
            <w:top w:val="none" w:sz="0" w:space="0" w:color="auto"/>
            <w:left w:val="none" w:sz="0" w:space="0" w:color="auto"/>
            <w:bottom w:val="none" w:sz="0" w:space="0" w:color="auto"/>
            <w:right w:val="none" w:sz="0" w:space="0" w:color="auto"/>
          </w:divBdr>
        </w:div>
      </w:divsChild>
    </w:div>
    <w:div w:id="1906604361">
      <w:bodyDiv w:val="1"/>
      <w:marLeft w:val="0"/>
      <w:marRight w:val="0"/>
      <w:marTop w:val="0"/>
      <w:marBottom w:val="0"/>
      <w:divBdr>
        <w:top w:val="none" w:sz="0" w:space="0" w:color="auto"/>
        <w:left w:val="none" w:sz="0" w:space="0" w:color="auto"/>
        <w:bottom w:val="none" w:sz="0" w:space="0" w:color="auto"/>
        <w:right w:val="none" w:sz="0" w:space="0" w:color="auto"/>
      </w:divBdr>
      <w:divsChild>
        <w:div w:id="1966151641">
          <w:marLeft w:val="547"/>
          <w:marRight w:val="0"/>
          <w:marTop w:val="0"/>
          <w:marBottom w:val="0"/>
          <w:divBdr>
            <w:top w:val="none" w:sz="0" w:space="0" w:color="auto"/>
            <w:left w:val="none" w:sz="0" w:space="0" w:color="auto"/>
            <w:bottom w:val="none" w:sz="0" w:space="0" w:color="auto"/>
            <w:right w:val="none" w:sz="0" w:space="0" w:color="auto"/>
          </w:divBdr>
        </w:div>
      </w:divsChild>
    </w:div>
    <w:div w:id="2018457709">
      <w:bodyDiv w:val="1"/>
      <w:marLeft w:val="0"/>
      <w:marRight w:val="0"/>
      <w:marTop w:val="0"/>
      <w:marBottom w:val="0"/>
      <w:divBdr>
        <w:top w:val="none" w:sz="0" w:space="0" w:color="auto"/>
        <w:left w:val="none" w:sz="0" w:space="0" w:color="auto"/>
        <w:bottom w:val="none" w:sz="0" w:space="0" w:color="auto"/>
        <w:right w:val="none" w:sz="0" w:space="0" w:color="auto"/>
      </w:divBdr>
      <w:divsChild>
        <w:div w:id="436602526">
          <w:marLeft w:val="547"/>
          <w:marRight w:val="0"/>
          <w:marTop w:val="0"/>
          <w:marBottom w:val="0"/>
          <w:divBdr>
            <w:top w:val="none" w:sz="0" w:space="0" w:color="auto"/>
            <w:left w:val="none" w:sz="0" w:space="0" w:color="auto"/>
            <w:bottom w:val="none" w:sz="0" w:space="0" w:color="auto"/>
            <w:right w:val="none" w:sz="0" w:space="0" w:color="auto"/>
          </w:divBdr>
        </w:div>
        <w:div w:id="1900551326">
          <w:marLeft w:val="1166"/>
          <w:marRight w:val="0"/>
          <w:marTop w:val="0"/>
          <w:marBottom w:val="0"/>
          <w:divBdr>
            <w:top w:val="none" w:sz="0" w:space="0" w:color="auto"/>
            <w:left w:val="none" w:sz="0" w:space="0" w:color="auto"/>
            <w:bottom w:val="none" w:sz="0" w:space="0" w:color="auto"/>
            <w:right w:val="none" w:sz="0" w:space="0" w:color="auto"/>
          </w:divBdr>
        </w:div>
        <w:div w:id="1758401442">
          <w:marLeft w:val="1166"/>
          <w:marRight w:val="0"/>
          <w:marTop w:val="0"/>
          <w:marBottom w:val="0"/>
          <w:divBdr>
            <w:top w:val="none" w:sz="0" w:space="0" w:color="auto"/>
            <w:left w:val="none" w:sz="0" w:space="0" w:color="auto"/>
            <w:bottom w:val="none" w:sz="0" w:space="0" w:color="auto"/>
            <w:right w:val="none" w:sz="0" w:space="0" w:color="auto"/>
          </w:divBdr>
        </w:div>
        <w:div w:id="1304849085">
          <w:marLeft w:val="1166"/>
          <w:marRight w:val="0"/>
          <w:marTop w:val="0"/>
          <w:marBottom w:val="0"/>
          <w:divBdr>
            <w:top w:val="none" w:sz="0" w:space="0" w:color="auto"/>
            <w:left w:val="none" w:sz="0" w:space="0" w:color="auto"/>
            <w:bottom w:val="none" w:sz="0" w:space="0" w:color="auto"/>
            <w:right w:val="none" w:sz="0" w:space="0" w:color="auto"/>
          </w:divBdr>
        </w:div>
        <w:div w:id="1953315890">
          <w:marLeft w:val="1166"/>
          <w:marRight w:val="0"/>
          <w:marTop w:val="0"/>
          <w:marBottom w:val="0"/>
          <w:divBdr>
            <w:top w:val="none" w:sz="0" w:space="0" w:color="auto"/>
            <w:left w:val="none" w:sz="0" w:space="0" w:color="auto"/>
            <w:bottom w:val="none" w:sz="0" w:space="0" w:color="auto"/>
            <w:right w:val="none" w:sz="0" w:space="0" w:color="auto"/>
          </w:divBdr>
        </w:div>
        <w:div w:id="1734892449">
          <w:marLeft w:val="547"/>
          <w:marRight w:val="0"/>
          <w:marTop w:val="0"/>
          <w:marBottom w:val="0"/>
          <w:divBdr>
            <w:top w:val="none" w:sz="0" w:space="0" w:color="auto"/>
            <w:left w:val="none" w:sz="0" w:space="0" w:color="auto"/>
            <w:bottom w:val="none" w:sz="0" w:space="0" w:color="auto"/>
            <w:right w:val="none" w:sz="0" w:space="0" w:color="auto"/>
          </w:divBdr>
        </w:div>
        <w:div w:id="154602342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dx.doi.org/10.1029/2006GL028515" TargetMode="External"/><Relationship Id="rId47" Type="http://schemas.openxmlformats.org/officeDocument/2006/relationships/header" Target="header1.xml"/><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4.gif"/><Relationship Id="rId31" Type="http://schemas.openxmlformats.org/officeDocument/2006/relationships/image" Target="media/image25.gif"/><Relationship Id="rId32" Type="http://schemas.openxmlformats.org/officeDocument/2006/relationships/image" Target="media/image26.gif"/><Relationship Id="rId9" Type="http://schemas.openxmlformats.org/officeDocument/2006/relationships/footnotes" Target="foot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33" Type="http://schemas.openxmlformats.org/officeDocument/2006/relationships/image" Target="media/image27.gif"/><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hyperlink" Target="http://dx.doi.org/10.1029/2005JD0065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153378-863D-AB47-A770-94D253413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33</Pages>
  <Words>9657</Words>
  <Characters>55047</Characters>
  <Application>Microsoft Macintosh Word</Application>
  <DocSecurity>0</DocSecurity>
  <Lines>458</Lines>
  <Paragraphs>110</Paragraphs>
  <ScaleCrop>false</ScaleCrop>
  <HeadingPairs>
    <vt:vector size="2" baseType="variant">
      <vt:variant>
        <vt:lpstr>Title</vt:lpstr>
      </vt:variant>
      <vt:variant>
        <vt:i4>1</vt:i4>
      </vt:variant>
    </vt:vector>
  </HeadingPairs>
  <TitlesOfParts>
    <vt:vector size="1" baseType="lpstr">
      <vt:lpstr/>
    </vt:vector>
  </TitlesOfParts>
  <Company>NASA</Company>
  <LinksUpToDate>false</LinksUpToDate>
  <CharactersWithSpaces>67601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G. Bosilovich</dc:creator>
  <cp:keywords/>
  <dc:description/>
  <cp:lastModifiedBy>Michele Rienecker</cp:lastModifiedBy>
  <cp:revision>17</cp:revision>
  <dcterms:created xsi:type="dcterms:W3CDTF">2010-09-27T14:57:00Z</dcterms:created>
  <dcterms:modified xsi:type="dcterms:W3CDTF">2010-10-07T10:02:00Z</dcterms:modified>
</cp:coreProperties>
</file>